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beforeAutospacing="1" w:after="200"/>
        <w:jc w:val="center"/>
        <w:rPr>
          <w:rFonts w:ascii="Times New Roman" w:hAnsi="Times New Roman" w:cs="Times New Roman"/>
          <w:color w:val="A50021"/>
          <w:sz w:val="36"/>
        </w:rPr>
      </w:pPr>
      <w:r>
        <w:rPr>
          <w:rFonts w:cs="Times New Roman" w:ascii="Times New Roman" w:hAnsi="Times New Roman"/>
          <w:color w:val="A50021"/>
          <w:sz w:val="36"/>
        </w:rPr>
        <w:t>АО «Республиканский центр пространственных данных «Кадастр»</w:t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b/>
          <w:b/>
          <w:color w:val="C0504D" w:themeColor="accent2"/>
          <w:sz w:val="28"/>
          <w:szCs w:val="28"/>
        </w:rPr>
      </w:pPr>
      <w:r>
        <w:rPr>
          <w:rFonts w:cs="Times New Roman" w:ascii="Times New Roman" w:hAnsi="Times New Roman"/>
          <w:b/>
          <w:color w:val="C0504D" w:themeColor="accent2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 xml:space="preserve">ГЕНЕРАЛЬНЫЙ ПЛАН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 xml:space="preserve">ТАТАРСКО-ТАВЛИНСКОГО СЕЛЬСКОГО ПОСЕЛЕНИЯ 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 xml:space="preserve"> </w:t>
      </w:r>
      <w:r>
        <w:rPr>
          <w:rFonts w:cs="Times New Roman" w:ascii="Times New Roman" w:hAnsi="Times New Roman"/>
          <w:b/>
          <w:sz w:val="28"/>
        </w:rPr>
        <w:t xml:space="preserve">ЛЯМБИРСКОГО МУНИЦИПАЛЬНОГО РАЙОНА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</w:rPr>
      </w:pPr>
      <w:r>
        <w:rPr>
          <w:rFonts w:cs="Times New Roman" w:ascii="Times New Roman" w:hAnsi="Times New Roman"/>
          <w:b/>
          <w:sz w:val="28"/>
        </w:rPr>
        <w:t>РЕСПУБЛИКИ МОРДОВИЯ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142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ТОМ 1</w:t>
      </w:r>
    </w:p>
    <w:p>
      <w:pPr>
        <w:pStyle w:val="PlainText"/>
        <w:ind w:right="142" w:hanging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</w:rPr>
        <w:t>ПОЛОЖЕНИЕ О ТЕРРИТОРИАЛЬНОМ ПЛАНИРОВАНИИ</w:t>
      </w:r>
    </w:p>
    <w:p>
      <w:pPr>
        <w:pStyle w:val="Normal"/>
        <w:spacing w:lineRule="auto" w:line="240" w:before="0" w:after="0"/>
        <w:ind w:right="142" w:hanging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9"/>
          <w:tab w:val="left" w:pos="7513" w:leader="none"/>
        </w:tabs>
        <w:spacing w:lineRule="auto" w:line="480" w:before="0" w:after="0"/>
        <w:ind w:firstLine="72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9"/>
          <w:tab w:val="left" w:pos="7513" w:leader="none"/>
        </w:tabs>
        <w:spacing w:lineRule="auto" w:line="480" w:before="0" w:after="0"/>
        <w:ind w:firstLine="720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9"/>
          <w:tab w:val="left" w:pos="7513" w:leader="none"/>
        </w:tabs>
        <w:spacing w:lineRule="auto" w:line="480" w:before="0" w:after="0"/>
        <w:ind w:firstLine="720"/>
        <w:rPr>
          <w:rFonts w:ascii="Times New Roman" w:hAnsi="Times New Roman" w:eastAsia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</w:rPr>
        <w:t>СОСТАВ ПРОЕКТА «ВНЕСЕНИЕ ИЗМЕНЕНИЙ В ГЕНЕРАЛЬНЫЙ ПЛАН»</w:t>
      </w:r>
    </w:p>
    <w:tbl>
      <w:tblPr>
        <w:tblW w:w="9392" w:type="dxa"/>
        <w:jc w:val="left"/>
        <w:tblInd w:w="-6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57"/>
        <w:gridCol w:w="7634"/>
      </w:tblGrid>
      <w:tr>
        <w:trPr>
          <w:trHeight w:val="717" w:hRule="atLeast"/>
        </w:trPr>
        <w:tc>
          <w:tcPr>
            <w:tcW w:w="9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Том 1</w:t>
            </w:r>
          </w:p>
          <w:p>
            <w:pPr>
              <w:pStyle w:val="Normal"/>
              <w:shd w:val="clear" w:color="auto" w:fill="FFFFFF"/>
              <w:tabs>
                <w:tab w:val="clear" w:pos="709"/>
                <w:tab w:val="left" w:pos="7513" w:leader="none"/>
              </w:tabs>
              <w:spacing w:lineRule="auto" w:line="240" w:before="120" w:after="120"/>
              <w:ind w:firstLine="7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ПОЛОЖЕНИЕ О ТЕРРИТОРИАЛЬНОМ ПЛАНИРОВАНИИ</w:t>
            </w:r>
          </w:p>
        </w:tc>
      </w:tr>
      <w:tr>
        <w:trPr/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А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>
        <w:trPr/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  <w:tr>
        <w:trPr/>
        <w:tc>
          <w:tcPr>
            <w:tcW w:w="9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Том 2</w:t>
            </w:r>
          </w:p>
          <w:p>
            <w:pPr>
              <w:pStyle w:val="Normal"/>
              <w:shd w:val="clear" w:color="auto" w:fill="FFFFFF"/>
              <w:tabs>
                <w:tab w:val="clear" w:pos="709"/>
                <w:tab w:val="left" w:pos="7513" w:leader="none"/>
              </w:tabs>
              <w:spacing w:lineRule="auto" w:line="240" w:before="120" w:after="120"/>
              <w:ind w:firstLine="72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МАТЕРИАЛЫ ПО ОБОСНОВАНИЮ ГЕНЕРАЛЬНОГО ПЛАНА </w:t>
            </w:r>
          </w:p>
        </w:tc>
      </w:tr>
      <w:tr>
        <w:trPr/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Часть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 xml:space="preserve"> А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Пояснительная записка (текстовая)</w:t>
            </w:r>
          </w:p>
        </w:tc>
      </w:tr>
      <w:tr>
        <w:trPr/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b/>
                <w:b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 xml:space="preserve">Часть </w:t>
            </w:r>
            <w:r>
              <w:rPr>
                <w:rFonts w:eastAsia="Times New Roman" w:cs="Times New Roman" w:ascii="Times New Roman" w:hAnsi="Times New Roman"/>
                <w:b/>
                <w:color w:val="000000"/>
                <w:sz w:val="24"/>
                <w:szCs w:val="24"/>
              </w:rPr>
              <w:t>Б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513" w:leader="none"/>
              </w:tabs>
              <w:snapToGrid w:val="false"/>
              <w:spacing w:lineRule="auto" w:line="240" w:before="120" w:after="12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</w:rPr>
              <w:t>Графические материалы</w:t>
            </w:r>
          </w:p>
        </w:tc>
      </w:tr>
    </w:tbl>
    <w:p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ind w:firstLine="72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Генеральный план состоит из 2-х томов: «Положения о территориальном планировании»  (Том 1), «Материалы по обоснованию проекта» (Том 2).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СОСТАВ ГРАФИЧЕСКИХ МАТЕРИАЛОВ</w:t>
      </w:r>
    </w:p>
    <w:tbl>
      <w:tblPr>
        <w:tblW w:w="9496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93"/>
        <w:gridCol w:w="6960"/>
        <w:gridCol w:w="1843"/>
      </w:tblGrid>
      <w:tr>
        <w:trPr>
          <w:trHeight w:val="394" w:hRule="atLeast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ind w:left="34" w:right="-108" w:hanging="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Наименование схемы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>
        <w:trPr>
          <w:trHeight w:val="394" w:hRule="atLeast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ind w:left="34" w:right="-10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Карта границ населенных пунктов, входящих в состав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1:5 000</w:t>
            </w:r>
          </w:p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1:2 000</w:t>
            </w:r>
          </w:p>
        </w:tc>
      </w:tr>
      <w:tr>
        <w:trPr>
          <w:trHeight w:val="394" w:hRule="atLeast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ind w:left="34" w:right="-10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Карта планируемого размещения объектов местного значения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1:5 000</w:t>
            </w:r>
          </w:p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1:2 000</w:t>
            </w:r>
          </w:p>
        </w:tc>
      </w:tr>
      <w:tr>
        <w:trPr>
          <w:trHeight w:val="394" w:hRule="atLeast"/>
        </w:trPr>
        <w:tc>
          <w:tcPr>
            <w:tcW w:w="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ind w:left="34" w:right="-108" w:hanging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Карта функциональных зон поселения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1:5 000</w:t>
            </w:r>
          </w:p>
          <w:p>
            <w:pPr>
              <w:pStyle w:val="Normal"/>
              <w:snapToGrid w:val="false"/>
              <w:spacing w:lineRule="auto" w:line="240" w:before="120" w:after="12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1:2 000</w:t>
            </w:r>
          </w:p>
        </w:tc>
      </w:tr>
    </w:tbl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ind w:hanging="284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spacing w:lineRule="auto" w:line="240" w:before="0" w:after="0"/>
        <w:ind w:hanging="284"/>
        <w:jc w:val="center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</w:r>
    </w:p>
    <w:p>
      <w:pPr>
        <w:pStyle w:val="Normal"/>
        <w:keepNext w:val="true"/>
        <w:keepLines/>
        <w:spacing w:before="480" w:after="0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  <w:r>
        <w:br w:type="page"/>
      </w:r>
    </w:p>
    <w:p>
      <w:pPr>
        <w:pStyle w:val="1"/>
        <w:spacing w:before="0" w:after="0"/>
        <w:contextualSpacing/>
        <w:rPr>
          <w:rFonts w:ascii="Times New Roman" w:hAnsi="Times New Roman"/>
          <w:color w:val="1F497D" w:themeColor="text2"/>
          <w:sz w:val="28"/>
          <w:szCs w:val="24"/>
        </w:rPr>
      </w:pPr>
      <w:r>
        <w:rPr>
          <w:rFonts w:ascii="Times New Roman" w:hAnsi="Times New Roman"/>
          <w:color w:val="1F497D" w:themeColor="text2"/>
          <w:sz w:val="28"/>
          <w:szCs w:val="24"/>
        </w:rPr>
        <w:t>Оглавление</w:t>
      </w:r>
    </w:p>
    <w:p>
      <w:pPr>
        <w:pStyle w:val="Normal"/>
        <w:spacing w:before="0" w:after="0"/>
        <w:contextualSpacing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9"/>
          <w:tab w:val="right" w:pos="935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1.Общие положения</w:t>
        <w:tab/>
        <w:t>4</w:t>
      </w:r>
    </w:p>
    <w:p>
      <w:pPr>
        <w:pStyle w:val="Normal"/>
        <w:tabs>
          <w:tab w:val="clear" w:pos="709"/>
          <w:tab w:val="right" w:pos="935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2.Сведения о видах, назначении и наименовании планируемых для размещения объектов </w:t>
      </w:r>
    </w:p>
    <w:p>
      <w:pPr>
        <w:pStyle w:val="Normal"/>
        <w:tabs>
          <w:tab w:val="clear" w:pos="709"/>
          <w:tab w:val="right" w:pos="935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зон требуется в связи с размещением данных объектов</w:t>
        <w:tab/>
        <w:t>6</w:t>
      </w:r>
    </w:p>
    <w:p>
      <w:pPr>
        <w:pStyle w:val="Normal"/>
        <w:tabs>
          <w:tab w:val="clear" w:pos="709"/>
          <w:tab w:val="right" w:pos="935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</w:t>
        <w:tab/>
        <w:t xml:space="preserve">Параметры функциональных зон, а также сведения о планируемых для размещения в них </w:t>
      </w:r>
    </w:p>
    <w:p>
      <w:pPr>
        <w:pStyle w:val="Normal"/>
        <w:tabs>
          <w:tab w:val="clear" w:pos="709"/>
          <w:tab w:val="right" w:pos="9354" w:leader="dot"/>
        </w:tabs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объектах регионального значения, объектах местного значения, за исключением линейных объектов</w:t>
        <w:tab/>
        <w:t>7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rPr/>
      </w:pPr>
      <w:r>
        <w:rPr/>
      </w:r>
      <w:bookmarkStart w:id="0" w:name="_Toc132899405"/>
      <w:bookmarkStart w:id="1" w:name="_Toc351042770"/>
      <w:bookmarkStart w:id="2" w:name="_Toc20213969"/>
      <w:bookmarkStart w:id="3" w:name="_Toc20231439"/>
      <w:bookmarkStart w:id="4" w:name="_Toc132899405"/>
      <w:bookmarkStart w:id="5" w:name="_Toc351042770"/>
      <w:bookmarkStart w:id="6" w:name="_Toc20213969"/>
      <w:bookmarkStart w:id="7" w:name="_Toc20231439"/>
      <w:bookmarkEnd w:id="4"/>
      <w:bookmarkEnd w:id="5"/>
      <w:bookmarkEnd w:id="6"/>
      <w:bookmarkEnd w:id="7"/>
      <w:r>
        <w:br w:type="page"/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/>
          <w:b/>
          <w:color w:val="1F497D" w:themeColor="text2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1F497D" w:themeColor="text2"/>
          <w:sz w:val="24"/>
          <w:szCs w:val="24"/>
        </w:rPr>
        <w:t xml:space="preserve">1 Общее положение 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Цель работы: Внесение изменений 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в генеральный план Татарско-Тавлинского сельского поселения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в соответствии с Градостроительным кодексом Российской Федерации от 29.12.2004 № 190-ФЗ (ред. от 25.12.2023) (с изм. и доп., вступ. в силу с 01.02.2024) и в соответствии с Приказом Минэкономразвития России от 09.01.2018 № 10 (ред. от 06.09.2023)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793». 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Причинами проведения работ являются:</w:t>
      </w:r>
    </w:p>
    <w:p>
      <w:pPr>
        <w:pStyle w:val="Normal"/>
        <w:numPr>
          <w:ilvl w:val="0"/>
          <w:numId w:val="1"/>
        </w:numPr>
        <w:spacing w:before="0" w:after="0"/>
        <w:ind w:left="0"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Изменение действующего законодательства в отношении градостроительной деятельности.</w:t>
      </w:r>
    </w:p>
    <w:p>
      <w:pPr>
        <w:pStyle w:val="Normal"/>
        <w:numPr>
          <w:ilvl w:val="0"/>
          <w:numId w:val="1"/>
        </w:numPr>
        <w:spacing w:before="0" w:after="0"/>
        <w:ind w:left="0"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Уточнение границ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населенных пунктов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>
      <w:pPr>
        <w:pStyle w:val="Normal"/>
        <w:numPr>
          <w:ilvl w:val="0"/>
          <w:numId w:val="1"/>
        </w:numPr>
        <w:spacing w:before="0" w:after="0"/>
        <w:ind w:left="0"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Уточнение функционального зонирования территории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населенных пунктов и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4.</w:t>
        <w:tab/>
        <w:t>Актуализация генерального плана на предмет планируемого размещения объектов федерального и регионального значения, согласно действующих документов территориального планирования Российской Федерации и Республики Мордовия (с изменениями и дополнениями вступившими в силу на момент заключения договора).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Для достижения целей необходимо выполнение следующих задач: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1.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 Уточнить границы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населенных пунктов муниципального образования с учётом поступивших предложений от администрации муниципального образования и заинтересованных лиц.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2. О</w:t>
      </w:r>
      <w:r>
        <w:rPr>
          <w:rFonts w:cs="Times New Roman" w:ascii="Times New Roman" w:hAnsi="Times New Roman"/>
          <w:sz w:val="24"/>
          <w:szCs w:val="24"/>
        </w:rPr>
        <w:t xml:space="preserve">пределить функциональное назначение территорий 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населенных пунктов и </w:t>
      </w:r>
      <w:r>
        <w:rPr>
          <w:rFonts w:cs="Times New Roman" w:ascii="Times New Roman" w:hAnsi="Times New Roman"/>
          <w:sz w:val="24"/>
          <w:szCs w:val="24"/>
        </w:rPr>
        <w:t>муниципального образования в соответствии с современным и перспективным развитием территорий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 xml:space="preserve">3. Разработать Том 1 Основное положение в соответствии с Градостроительным кодексом </w:t>
      </w:r>
      <w:r>
        <w:rPr>
          <w:rFonts w:eastAsia="Times New Roman" w:cs="Times New Roman" w:ascii="Times New Roman" w:hAnsi="Times New Roman"/>
          <w:sz w:val="24"/>
          <w:szCs w:val="24"/>
        </w:rPr>
        <w:t>Российской Федерации от 29.12.2004 № 190-ФЗ (в действующей редакции)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sz w:val="24"/>
          <w:szCs w:val="24"/>
          <w:lang w:eastAsia="en-US"/>
        </w:rPr>
        <w:t>4. Графические материалы оформить в соответствии с Приказом Минэкономразвития России от 09.01.2018 № 10 (</w:t>
      </w:r>
      <w:r>
        <w:rPr>
          <w:rFonts w:eastAsia="Times New Roman" w:cs="Times New Roman" w:ascii="Times New Roman" w:hAnsi="Times New Roman"/>
          <w:sz w:val="24"/>
          <w:szCs w:val="24"/>
        </w:rPr>
        <w:t>ред. от 06.09.2023</w:t>
      </w:r>
      <w:r>
        <w:rPr>
          <w:rFonts w:eastAsia="Calibri" w:cs="Times New Roman" w:ascii="Times New Roman" w:hAnsi="Times New Roman"/>
          <w:sz w:val="24"/>
          <w:szCs w:val="24"/>
          <w:lang w:eastAsia="en-US"/>
        </w:rPr>
        <w:t>) «Об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 и о признании утратившим силу приказа Минэкономразвития России от 7 декабря 2016 г. № 793».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Предыдущая градостроительная документация Татарско-Тавлинского сельского поселения: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- Генеральный план и правила землепользования и застройки Татарско-Тавлинского сельского поселения Лямбирского муниципального района Республики Мордовия, утвержденный Решением Совета депутатов Татарско-Тавлинского сельского поселения от 19.07.2012 № 29 (</w:t>
      </w:r>
      <w:r>
        <w:rPr>
          <w:rFonts w:cs="Times New Roman" w:ascii="Times New Roman" w:hAnsi="Times New Roman"/>
          <w:color w:val="212529"/>
          <w:sz w:val="24"/>
          <w:szCs w:val="24"/>
          <w:shd w:fill="FAFBFC" w:val="clear"/>
        </w:rPr>
        <w:t>действующий)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;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pacing w:val="-6"/>
          <w:sz w:val="24"/>
          <w:szCs w:val="24"/>
          <w:lang w:eastAsia="en-US"/>
        </w:rPr>
        <w:t xml:space="preserve">Настоящий проект </w:t>
      </w: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является документом, разработанным в соответствии с Градостроительным кодексом Российской Федерации в действующих редакциях. Проект разработан с учётом ряда программ, реализуемых на территории Республики, Татарско-Тавлинского сельского поселения Лямбирского муниципального района.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  <w:t>В настоящем проекте учитываются все мероприятия, запланированные в ранее утвержденном Генеральном плане.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</w:r>
    </w:p>
    <w:p>
      <w:pPr>
        <w:pStyle w:val="Normal"/>
        <w:spacing w:before="240" w:after="0"/>
        <w:ind w:firstLine="851"/>
        <w:jc w:val="both"/>
        <w:rPr>
          <w:rFonts w:ascii="Times New Roman" w:hAnsi="Times New Roman" w:eastAsia="Calibri" w:cs="Times New Roman"/>
          <w:color w:val="000000"/>
          <w:sz w:val="24"/>
          <w:szCs w:val="24"/>
          <w:lang w:eastAsia="en-US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  <w:lang w:eastAsia="en-US"/>
        </w:rPr>
      </w:r>
    </w:p>
    <w:p>
      <w:pPr>
        <w:pStyle w:val="Normal"/>
        <w:spacing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sectPr>
          <w:headerReference w:type="default" r:id="rId2"/>
          <w:headerReference w:type="first" r:id="rId3"/>
          <w:footerReference w:type="default" r:id="rId4"/>
          <w:footerReference w:type="first" r:id="rId5"/>
          <w:type w:val="nextPage"/>
          <w:pgSz w:w="11906" w:h="16838"/>
          <w:pgMar w:left="1701" w:right="851" w:header="709" w:top="1134" w:footer="709" w:bottom="1134" w:gutter="0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ListParagraph"/>
        <w:keepNext w:val="true"/>
        <w:keepLines/>
        <w:numPr>
          <w:ilvl w:val="0"/>
          <w:numId w:val="2"/>
        </w:numPr>
        <w:ind w:left="0" w:firstLine="851"/>
        <w:jc w:val="both"/>
        <w:outlineLvl w:val="0"/>
        <w:rPr>
          <w:rFonts w:ascii="Times New Roman" w:hAnsi="Times New Roman" w:eastAsia="" w:eastAsiaTheme="majorEastAsia"/>
          <w:b/>
          <w:b/>
          <w:color w:val="365F91" w:themeColor="accent1" w:themeShade="bf"/>
          <w:sz w:val="24"/>
          <w:szCs w:val="24"/>
        </w:rPr>
      </w:pPr>
      <w:bookmarkStart w:id="8" w:name="_Toc159336855"/>
      <w:bookmarkStart w:id="9" w:name="_Toc351042771"/>
      <w:r>
        <w:rPr>
          <w:rFonts w:eastAsia="" w:ascii="Times New Roman" w:hAnsi="Times New Roman" w:eastAsiaTheme="majorEastAsia"/>
          <w:b/>
          <w:color w:val="365F91" w:themeColor="accent1" w:themeShade="bf"/>
          <w:sz w:val="24"/>
          <w:szCs w:val="24"/>
        </w:rPr>
        <w:t>Сведения о видах, назначении и наименовании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 в случаях, если установление таких зон требуется в связи с размещением данных объектов.</w:t>
      </w:r>
      <w:bookmarkEnd w:id="8"/>
      <w:bookmarkEnd w:id="9"/>
    </w:p>
    <w:p>
      <w:pPr>
        <w:pStyle w:val="S5"/>
        <w:rPr/>
      </w:pPr>
      <w:r>
        <w:rPr/>
        <w:t>На территории Татарско-Тавлинского сельского поселения такие объекты не планируются.</w:t>
      </w:r>
    </w:p>
    <w:p>
      <w:pPr>
        <w:sectPr>
          <w:headerReference w:type="default" r:id="rId6"/>
          <w:footerReference w:type="default" r:id="rId7"/>
          <w:type w:val="nextPage"/>
          <w:pgSz w:w="11906" w:h="16838"/>
          <w:pgMar w:left="1701" w:right="851" w:header="709" w:top="1134" w:footer="709" w:bottom="1134" w:gutter="0"/>
          <w:pgNumType w:fmt="decimal"/>
          <w:formProt w:val="false"/>
          <w:textDirection w:val="lrTb"/>
          <w:docGrid w:type="default" w:linePitch="360" w:charSpace="4096"/>
        </w:sectPr>
        <w:pStyle w:val="Normal"/>
        <w:keepNext w:val="true"/>
        <w:keepLines/>
        <w:numPr>
          <w:ilvl w:val="0"/>
          <w:numId w:val="0"/>
        </w:numPr>
        <w:jc w:val="both"/>
        <w:outlineLvl w:val="0"/>
        <w:rPr>
          <w:rFonts w:ascii="Times New Roman" w:hAnsi="Times New Roman" w:eastAsia="" w:cs="Times New Roman" w:eastAsiaTheme="majorEastAsia"/>
          <w:color w:val="365F91" w:themeColor="accent1" w:themeShade="bf"/>
          <w:sz w:val="24"/>
          <w:szCs w:val="24"/>
        </w:rPr>
      </w:pPr>
      <w:r>
        <w:rPr>
          <w:rFonts w:eastAsia="" w:cs="Times New Roman" w:eastAsiaTheme="majorEastAsia" w:ascii="Times New Roman" w:hAnsi="Times New Roman"/>
          <w:color w:val="365F91" w:themeColor="accent1" w:themeShade="bf"/>
          <w:sz w:val="24"/>
          <w:szCs w:val="24"/>
        </w:rPr>
      </w:r>
    </w:p>
    <w:p>
      <w:pPr>
        <w:pStyle w:val="ListParagraph"/>
        <w:keepNext w:val="true"/>
        <w:keepLines/>
        <w:numPr>
          <w:ilvl w:val="0"/>
          <w:numId w:val="2"/>
        </w:numPr>
        <w:spacing w:before="0" w:after="0"/>
        <w:ind w:left="0" w:firstLine="851"/>
        <w:contextualSpacing/>
        <w:jc w:val="both"/>
        <w:outlineLvl w:val="0"/>
        <w:rPr>
          <w:rFonts w:ascii="Times New Roman" w:hAnsi="Times New Roman" w:eastAsia="" w:eastAsiaTheme="majorEastAsia"/>
          <w:b/>
          <w:b/>
          <w:color w:val="365F91" w:themeColor="accent1" w:themeShade="bf"/>
          <w:sz w:val="24"/>
          <w:szCs w:val="24"/>
        </w:rPr>
      </w:pPr>
      <w:bookmarkStart w:id="10" w:name="_Toc159336856"/>
      <w:bookmarkStart w:id="11" w:name="_Toc351042772"/>
      <w:bookmarkStart w:id="12" w:name="_Toc342651756"/>
      <w:bookmarkStart w:id="13" w:name="_Toc338604162"/>
      <w:r>
        <w:rPr>
          <w:rFonts w:eastAsia="" w:ascii="Times New Roman" w:hAnsi="Times New Roman" w:eastAsiaTheme="majorEastAsia"/>
          <w:b/>
          <w:color w:val="365F91" w:themeColor="accent1" w:themeShade="bf"/>
          <w:sz w:val="24"/>
          <w:szCs w:val="24"/>
        </w:rPr>
        <w:t>Параметры функциональных зон, а также сведения о планируемых для размещения в них объектах регионального значения, объектах местного значения, за исключением линейных объектов</w:t>
      </w:r>
      <w:bookmarkEnd w:id="10"/>
      <w:bookmarkEnd w:id="11"/>
      <w:bookmarkEnd w:id="12"/>
      <w:bookmarkEnd w:id="13"/>
    </w:p>
    <w:p>
      <w:pPr>
        <w:pStyle w:val="S5"/>
        <w:rPr/>
      </w:pPr>
      <w:r>
        <w:rPr/>
      </w:r>
    </w:p>
    <w:p>
      <w:pPr>
        <w:pStyle w:val="Normal"/>
        <w:spacing w:lineRule="auto" w:line="280" w:before="0" w:after="0"/>
        <w:ind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4" w:name="_Toc159336858"/>
      <w:r>
        <w:rPr>
          <w:rFonts w:eastAsia="Times New Roman" w:cs="Times New Roman" w:ascii="Times New Roman" w:hAnsi="Times New Roman"/>
          <w:sz w:val="24"/>
          <w:szCs w:val="24"/>
        </w:rPr>
        <w:t>Проектом предусмотрены следующие зоны:</w:t>
      </w:r>
    </w:p>
    <w:p>
      <w:pPr>
        <w:pStyle w:val="Normal"/>
        <w:numPr>
          <w:ilvl w:val="0"/>
          <w:numId w:val="3"/>
        </w:numPr>
        <w:spacing w:lineRule="auto" w:line="280" w:before="0" w:after="0"/>
        <w:ind w:left="0"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жилая зона;</w:t>
      </w:r>
    </w:p>
    <w:p>
      <w:pPr>
        <w:pStyle w:val="Normal"/>
        <w:numPr>
          <w:ilvl w:val="0"/>
          <w:numId w:val="3"/>
        </w:numPr>
        <w:spacing w:lineRule="auto" w:line="280" w:before="0" w:after="0"/>
        <w:ind w:left="0"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общественно-деловая зона;</w:t>
      </w:r>
    </w:p>
    <w:p>
      <w:pPr>
        <w:pStyle w:val="Normal"/>
        <w:numPr>
          <w:ilvl w:val="0"/>
          <w:numId w:val="3"/>
        </w:numPr>
        <w:spacing w:lineRule="auto" w:line="280" w:before="0" w:after="0"/>
        <w:ind w:left="0"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производственная зона сельскохозяйственных предприятий;</w:t>
      </w:r>
    </w:p>
    <w:p>
      <w:pPr>
        <w:pStyle w:val="Normal"/>
        <w:numPr>
          <w:ilvl w:val="0"/>
          <w:numId w:val="3"/>
        </w:numPr>
        <w:spacing w:lineRule="auto" w:line="280" w:before="0" w:after="0"/>
        <w:ind w:left="0"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зона специального назначения;</w:t>
      </w:r>
    </w:p>
    <w:p>
      <w:pPr>
        <w:pStyle w:val="Normal"/>
        <w:numPr>
          <w:ilvl w:val="0"/>
          <w:numId w:val="3"/>
        </w:numPr>
        <w:spacing w:lineRule="auto" w:line="280" w:before="0" w:after="0"/>
        <w:ind w:left="0" w:right="-1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зона рекреационного назначения.</w:t>
      </w:r>
    </w:p>
    <w:p>
      <w:pPr>
        <w:pStyle w:val="Normal"/>
        <w:widowControl w:val="false"/>
        <w:spacing w:lineRule="auto" w:line="28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Также на картах показаны </w:t>
      </w:r>
      <w:r>
        <w:rPr>
          <w:rFonts w:eastAsia="Times New Roman" w:cs="Times New Roman" w:ascii="Times New Roman" w:hAnsi="Times New Roman"/>
          <w:bCs/>
          <w:sz w:val="24"/>
        </w:rPr>
        <w:t>земли лесного фонда и земли сельскохозяйственного назначения.</w:t>
      </w:r>
    </w:p>
    <w:p>
      <w:pPr>
        <w:pStyle w:val="Normal"/>
        <w:widowControl w:val="false"/>
        <w:spacing w:lineRule="auto" w:line="280" w:before="0" w:after="0"/>
        <w:ind w:left="851" w:hanging="0"/>
        <w:contextualSpacing/>
        <w:jc w:val="both"/>
        <w:rPr>
          <w:rFonts w:ascii="Times New Roman" w:hAnsi="Times New Roman" w:eastAsia="Times New Roman" w:cs="Times New Roman"/>
          <w:bCs/>
          <w:sz w:val="24"/>
        </w:rPr>
      </w:pPr>
      <w:r>
        <w:rPr>
          <w:rFonts w:eastAsia="Times New Roman" w:cs="Times New Roman" w:ascii="Times New Roman" w:hAnsi="Times New Roman"/>
          <w:bCs/>
          <w:sz w:val="24"/>
        </w:rPr>
      </w:r>
    </w:p>
    <w:p>
      <w:pPr>
        <w:pStyle w:val="Normal"/>
        <w:spacing w:lineRule="auto" w:line="280" w:before="0" w:after="0"/>
        <w:ind w:left="709" w:hanging="0"/>
        <w:contextualSpacing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Жилая зона</w:t>
      </w:r>
    </w:p>
    <w:p>
      <w:pPr>
        <w:pStyle w:val="Normal"/>
        <w:spacing w:lineRule="auto" w:line="28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Жилые зоны предусматриваются в целях создания для населения удобной, здоровой и безопасной среды проживания. Объекты и виды деятельности, несоответствующие требованиям СП 42.13330.2016 «Градостроительство. Планировка и застройка городских и сельских поселений», не допускается размещать в жилых зонах (ред. от 19.12.2019).</w:t>
      </w:r>
    </w:p>
    <w:p>
      <w:pPr>
        <w:pStyle w:val="Normal"/>
        <w:spacing w:lineRule="auto" w:line="280" w:before="0" w:after="0"/>
        <w:ind w:left="709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жилых зонах размещаются: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жилые дома разных типов (многоквартирные многоэтажные, средней и малой этажности);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блокированные;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усадебные с приквартирными и приусадебными участками;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отдельно стоящие, встроенные или пристроенные объекты социального и культурно-бытового обслуживания населения;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гаражи (гаражи-стоянки) и стоянки автомобилей для легковых автомобилей, принадлежащих гражданам;</w:t>
      </w:r>
    </w:p>
    <w:p>
      <w:pPr>
        <w:pStyle w:val="Normal"/>
        <w:numPr>
          <w:ilvl w:val="0"/>
          <w:numId w:val="4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культовые объекты.</w:t>
      </w:r>
    </w:p>
    <w:p>
      <w:pPr>
        <w:pStyle w:val="Normal"/>
        <w:spacing w:lineRule="auto" w:line="28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Допускается размещать отдельные объекты общественно-делового и коммунального назначения с площадью участка не более 0,5 га, а также мини-производства, не оказывающие вредного воздействия на окружающую среду (включая шум, вибрацию, магнитные поля, радиационное воздействие, загрязнение почв, воздуха, воды и иные вредные воздействия), за пределами установленных границ участков этих объектов.</w:t>
      </w:r>
    </w:p>
    <w:p>
      <w:pPr>
        <w:pStyle w:val="Normal"/>
        <w:spacing w:lineRule="auto" w:line="28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жилых зонах допускается размещение отдельно стоящих, встроенных или пристроенных объектов социального и коммунально-бытового назначения, объектов здравоохранения, объектов дошкольного, начального общего и среднего общего образования, культовых зданий, стоянок автомобильного транспорта, гаражей, объектов, связанных с проживанием граждан и не оказывающих негативного воздействия на окружающую среду.</w:t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Развитие социальной, транспортной и инженерной инфраструктур этих территорий необходимо предусматривать с учетом возможности постоянного проживания граждан на этих территориях.</w:t>
      </w:r>
    </w:p>
    <w:p>
      <w:pPr>
        <w:pStyle w:val="Normal"/>
        <w:spacing w:lineRule="auto" w:line="280" w:before="0" w:after="0"/>
        <w:ind w:firstLine="709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Основными показателями плотности застройки являются:</w:t>
      </w:r>
    </w:p>
    <w:p>
      <w:pPr>
        <w:pStyle w:val="Normal"/>
        <w:numPr>
          <w:ilvl w:val="0"/>
          <w:numId w:val="5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коэффициент застройки – отношение площади, занятой под зданиями и сооружениями, к площади территории;</w:t>
      </w:r>
    </w:p>
    <w:p>
      <w:pPr>
        <w:pStyle w:val="Normal"/>
        <w:numPr>
          <w:ilvl w:val="0"/>
          <w:numId w:val="5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коэффициент плотности застройки – отношение суммарной поэтажной площади зданий и сооружений к площади территории.</w:t>
      </w:r>
    </w:p>
    <w:p>
      <w:pPr>
        <w:pStyle w:val="Normal"/>
        <w:spacing w:lineRule="auto" w:line="280"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 основе проектных решений по формированию жилой среды использовались следующие принципы:</w:t>
      </w:r>
    </w:p>
    <w:p>
      <w:pPr>
        <w:pStyle w:val="Normal"/>
        <w:numPr>
          <w:ilvl w:val="0"/>
          <w:numId w:val="6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изыскание наиболее пригодных площадок для нового жилищного строительства на возвышенных местах с глубоким стоянием грунтовых вод, хорошо инсолируемых, расположенных выше по рельефу и течению рек по отношению к производственным объектам;</w:t>
      </w:r>
    </w:p>
    <w:p>
      <w:pPr>
        <w:pStyle w:val="Normal"/>
        <w:numPr>
          <w:ilvl w:val="0"/>
          <w:numId w:val="6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увеличение темпов индивидуального жилищного строительства с учетом привлечения различных внебюджетных и негосударственных источников, в том числе привлечения средств граждан и за счёт участия в государственных и областных целевых программах;</w:t>
      </w:r>
    </w:p>
    <w:p>
      <w:pPr>
        <w:pStyle w:val="Normal"/>
        <w:numPr>
          <w:ilvl w:val="0"/>
          <w:numId w:val="6"/>
        </w:numPr>
        <w:spacing w:lineRule="auto" w:line="280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выход на показатель обеспеченности не менее 30 м кв. общей площади на человека.</w:t>
      </w:r>
    </w:p>
    <w:p>
      <w:pPr>
        <w:pStyle w:val="Normal"/>
        <w:numPr>
          <w:ilvl w:val="0"/>
          <w:numId w:val="7"/>
        </w:numPr>
        <w:spacing w:lineRule="auto" w:line="295" w:before="0" w:after="0"/>
        <w:ind w:left="0"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На территории Татарско-Тавлинского сельского поселения планируется включение в планируемую жилую зону земельных участков со следующими кадастровыми номерами: 13:15:0103002:1996; 13:15:0103002:1968; 13:15:0103002:1997; 13:15:0103002:1969; 13:15:0103002:1970.</w:t>
      </w:r>
    </w:p>
    <w:p>
      <w:pPr>
        <w:pStyle w:val="Normal"/>
        <w:spacing w:lineRule="auto" w:line="280" w:before="0" w:after="0"/>
        <w:ind w:left="851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S5"/>
        <w:rPr>
          <w:rFonts w:eastAsia="Times New Roman"/>
        </w:rPr>
      </w:pPr>
      <w:r>
        <w:rPr>
          <w:rStyle w:val="S1"/>
          <w:b/>
        </w:rPr>
        <w:t>О</w:t>
      </w:r>
      <w:r>
        <w:rPr>
          <w:rFonts w:eastAsia="Times New Roman"/>
        </w:rPr>
        <w:t>бщественно-деловая зона</w:t>
      </w:r>
      <w:bookmarkEnd w:id="14"/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ar-SA"/>
        </w:rPr>
      </w:pPr>
      <w:r>
        <w:rPr>
          <w:rFonts w:eastAsia="Times New Roman" w:cs="Times New Roman" w:ascii="Times New Roman" w:hAnsi="Times New Roman"/>
          <w:bCs/>
          <w:color w:val="000000"/>
          <w:sz w:val="24"/>
          <w:szCs w:val="24"/>
          <w:lang w:eastAsia="ar-SA"/>
        </w:rPr>
        <w:t>Общественно-деловые зоны предназначены для размещения объектов здравоохранения, культуры, торговли, общественного питания, социального и коммунально-бытового назначения, предпринимательской деятельности, объектов среднего профессионального и высшего профессионального образования, административных, научно-исследовательских учреждений, культовых зданий, стоянок автомобильного транспорта, объектов делового, финансового назначения, иных объектов, связанных с обеспечением жизнедеятельности граждан.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В состав общественно-деловых зон могут включаться: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1) зоны делового, общественного и коммерческого назначения;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2) зоны размещения объектов социального и коммунально-бытового назначения;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3) зоны обслуживания объектов, необходимых для осуществления производственной и предпринимательской деятельности;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>4) общественно-деловые зоны иных видов.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/>
          <w:b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Производственная зона сельскохозяйственных предприятий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В зоны, занятые объектами сельскохозяйственного назначения входят – здания, строения, сооружения, используемые для производства, хранения и первичной обработки сельскохозяйственной продукции. Входят также земли, занятые внутрихозяйственными дорогами, коммуникациями, древесно-кустарниковой растительностью, предназначенной для обеспечения защиты земель от воздействия негативных природных, антропогенных и техногенных воздействий, замкнутыми водоемами, и резервные земли для развития объектов сельскохозяйственного назначения.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В состав таких зон относят: </w:t>
      </w:r>
    </w:p>
    <w:p>
      <w:pPr>
        <w:pStyle w:val="Normal"/>
        <w:widowControl w:val="false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- зоны, занятые объектами сельскохозяйственного назначения и предназначенные для ведения сельского хозяйства, дачного хозяйства, садоводства, личного подсобного хозяйства, развития объектов сельскохозяйственного назначения. 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/>
          <w:b/>
          <w:bCs/>
          <w:i/>
          <w:i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i/>
          <w:sz w:val="24"/>
          <w:szCs w:val="24"/>
        </w:rPr>
        <w:t xml:space="preserve">Зона транспортной инфраструктуры 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Земельные участки в составе зон инженерной и транспортной инфраструктуры предназначены для застройки объектами железнодорожного, автомобильного, речного, морского, воздушного и трубопроводного транспорта, связи, инженерной  инфраструктуры,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а также объектами иного назначения согласно градостроительным регламентам.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В состав транспортной инфраструктур могут включаться: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1) коммунальные зоны - зоны размещения коммунальных и складских объектов, объектов жилищно-коммунального хозяйства, объектов транспорта, объектов оптовой торговли;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2) иные виды транспортной инфраструктур.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Зону транспортной инфраструктуры следует предусматривать для размещения сооружений и коммуникаций железнодорожного, автомобильного транспорта, с учетом их перспективного развития.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В целях обеспечения нормальной эксплуатации сооружений, устройства других объектов внешнего транспорта допускается устанавливать охранные зоны.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Отвод земель для сооружений и устройств внешнего транспорта осуществляется в установленном порядке. Режим использования этих земель определяется градостроительной документацией в соответствии с действующим законодательством.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Для предотвращения неблагоприятных воздействий при эксплуатации объектов транспорта, устанавливаются санитарно-защитные зоны от этих объектов до границ территорий жилых, общественно-деловых и рекреационных зон.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Территории в границах отвода сооружений и коммуникаций транспорта, и их санитарно-защитных зон подлежат благоустройству и озеленению с учетом технических и эксплуатационных характеристик этих объектов.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Сооружения и коммуникации транспорта, эксплуатация которых оказывает прямое или косвенное воздействие на безопасность населения, размещаются за пределами поселений.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/>
          <w:i/>
          <w:sz w:val="24"/>
          <w:szCs w:val="24"/>
        </w:rPr>
        <w:t>Зоны специального назначения</w:t>
      </w:r>
    </w:p>
    <w:p>
      <w:pPr>
        <w:pStyle w:val="Normal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en-US"/>
        </w:rPr>
        <w:t>В состав территорий специального назначения могут включаться зоны, занятые кладбищами, крематориями, скотомогильниками, объектами размещения отходов производства и потребления, и иными объектами, размещение которых может быть обеспечено только путем выделения указанных зон и недопустимо в других территориальных зонах.</w:t>
      </w:r>
    </w:p>
    <w:p>
      <w:pPr>
        <w:pStyle w:val="Normal"/>
        <w:widowControl w:val="false"/>
        <w:spacing w:before="0" w:after="0"/>
        <w:ind w:firstLine="851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Для объектов, расположенных на территориях специального назначения, в зависимости от мощности, характера и количества выделяемых в окружающую среду загрязняющих веществ и других вредных физических факторов на основании санитарной классификации устанавливаются санитарно-защитные зоны.</w:t>
      </w:r>
      <w:bookmarkStart w:id="15" w:name="_Toc429747263"/>
      <w:bookmarkStart w:id="16" w:name="_Toc391565685"/>
      <w:bookmarkStart w:id="17" w:name="_Toc90308889"/>
      <w:bookmarkEnd w:id="15"/>
      <w:bookmarkEnd w:id="16"/>
      <w:bookmarkEnd w:id="17"/>
    </w:p>
    <w:p>
      <w:pPr>
        <w:pStyle w:val="S5"/>
        <w:rPr>
          <w:rFonts w:eastAsia="Times New Roman"/>
        </w:rPr>
      </w:pPr>
      <w:r>
        <w:rPr>
          <w:rFonts w:eastAsia="Times New Roman"/>
        </w:rPr>
      </w:r>
    </w:p>
    <w:p>
      <w:pPr>
        <w:pStyle w:val="Normal"/>
        <w:spacing w:lineRule="auto" w:line="297" w:before="0" w:after="0"/>
        <w:ind w:firstLine="851"/>
        <w:contextualSpacing/>
        <w:jc w:val="both"/>
        <w:rPr>
          <w:rFonts w:ascii="Times New Roman" w:hAnsi="Times New Roman" w:cs="Times New Roman"/>
          <w:b/>
          <w:b/>
          <w:i/>
          <w:i/>
          <w:sz w:val="24"/>
        </w:rPr>
      </w:pPr>
      <w:r>
        <w:rPr>
          <w:rFonts w:cs="Times New Roman" w:ascii="Times New Roman" w:hAnsi="Times New Roman"/>
          <w:b/>
          <w:i/>
          <w:sz w:val="24"/>
        </w:rPr>
        <w:t>Зоны рекреационного назначения</w:t>
      </w:r>
    </w:p>
    <w:p>
      <w:pPr>
        <w:pStyle w:val="Normal"/>
        <w:spacing w:lineRule="auto" w:line="297" w:before="0" w:after="0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К землям рекреационного назначения относятся земли, предназначенные и используемые для организации отдыха, туризма, физкультурно-оздоровительной и спортивной деятельности граждан.</w:t>
      </w:r>
    </w:p>
    <w:p>
      <w:pPr>
        <w:pStyle w:val="Normal"/>
        <w:spacing w:lineRule="auto" w:line="297" w:before="0" w:after="0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В состав земель рекреационного назначения входят земельные участки,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>
      <w:pPr>
        <w:pStyle w:val="Normal"/>
        <w:spacing w:lineRule="auto" w:line="297" w:before="0" w:after="0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  <w:t>Проектом Генерального плана предусмотрено включение земельного участка с кадастровым номером 13:15:0103001:293 в зону рекреационного назначения.</w:t>
      </w:r>
    </w:p>
    <w:p>
      <w:pPr>
        <w:pStyle w:val="Normal"/>
        <w:spacing w:lineRule="auto" w:line="297" w:before="0" w:after="0"/>
        <w:ind w:firstLine="851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cs="Times New Roman" w:ascii="Times New Roman" w:hAnsi="Times New Roman"/>
          <w:sz w:val="24"/>
        </w:rPr>
      </w:r>
    </w:p>
    <w:p>
      <w:pPr>
        <w:pStyle w:val="S5"/>
        <w:rPr/>
      </w:pPr>
      <w:r>
        <w:rPr/>
      </w:r>
    </w:p>
    <w:sectPr>
      <w:headerReference w:type="default" r:id="rId8"/>
      <w:footerReference w:type="default" r:id="rId9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230289103"/>
    </w:sdtPr>
    <w:sdtContent>
      <w:p>
        <w:pPr>
          <w:pStyle w:val="Style25"/>
          <w:jc w:val="center"/>
          <w:rPr/>
        </w:pPr>
        <w:r>
          <w:rPr/>
          <mc:AlternateContent>
            <mc:Choice Requires="wps">
              <w:drawing>
                <wp:inline distT="0" distB="0" distL="114300" distR="114300">
                  <wp:extent cx="5467985" cy="45720"/>
                  <wp:effectExtent l="0" t="0" r="0" b="0"/>
                  <wp:docPr id="1" name="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5467320" cy="4500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inline>
              </w:drawing>
            </mc:Choice>
            <mc:Fallback>
              <w:pict>
                <v:shapetype id="shapetype_110" coordsize="21600,21600" o:spt="110" path="m,10800l10800,l21600,10800l10800,21600xe">
                  <v:stroke joinstyle="miter"/>
                  <v:formulas>
                    <v:f eqn="prod width 3 4"/>
                    <v:f eqn="prod height 3 4"/>
                  </v:formulas>
                  <v:path gradientshapeok="t" o:connecttype="rect" textboxrect="5400,5400,@0,@1"/>
                </v:shapetype>
                <v:shape id="shape_0" fillcolor="black" stroked="f" style="position:absolute;margin-left:0pt;margin-top:-3.6pt;width:430.45pt;height:3.5pt;flip:y;mso-position-vertical:top" type="shapetype_110">
                  <w10:wrap type="none"/>
                  <v:fill o:detectmouseclick="t" type="solid" color2="white"/>
                  <v:stroke color="#3465a4" joinstyle="round" endcap="flat"/>
                </v:shape>
              </w:pict>
            </mc:Fallback>
          </mc:AlternateContent>
        </w:r>
      </w:p>
      <w:p>
        <w:pPr>
          <w:pStyle w:val="Style25"/>
          <w:jc w:val="both"/>
          <w:rPr/>
        </w:pPr>
        <w:r>
          <w:rPr>
            <w:rFonts w:cs="Times New Roman" w:ascii="Times New Roman" w:hAnsi="Times New Roman"/>
            <w:sz w:val="24"/>
          </w:rPr>
          <w:t xml:space="preserve">АО «РЦПД «КАДАСТР» 2024 г.                                                </w:t>
        </w:r>
        <w:r>
          <w:rPr>
            <w:rFonts w:cs="Times New Roman" w:ascii="Times New Roman" w:hAnsi="Times New Roman"/>
            <w:sz w:val="24"/>
          </w:rPr>
          <w:fldChar w:fldCharType="begin"/>
        </w:r>
        <w:r>
          <w:rPr>
            <w:sz w:val="24"/>
            <w:rFonts w:cs="Times New Roman" w:ascii="Times New Roman" w:hAnsi="Times New Roman"/>
          </w:rPr>
          <w:instrText> PAGE </w:instrText>
        </w:r>
        <w:r>
          <w:rPr>
            <w:sz w:val="24"/>
            <w:rFonts w:cs="Times New Roman" w:ascii="Times New Roman" w:hAnsi="Times New Roman"/>
          </w:rPr>
          <w:fldChar w:fldCharType="separate"/>
        </w:r>
        <w:r>
          <w:rPr>
            <w:sz w:val="24"/>
            <w:rFonts w:cs="Times New Roman" w:ascii="Times New Roman" w:hAnsi="Times New Roman"/>
          </w:rPr>
          <w:t>5</w:t>
        </w:r>
        <w:r>
          <w:rPr>
            <w:sz w:val="24"/>
            <w:rFonts w:cs="Times New Roman" w:ascii="Times New Roman" w:hAnsi="Times New Roman"/>
          </w:rPr>
          <w:fldChar w:fldCharType="end"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934633298"/>
    </w:sdtPr>
    <w:sdtContent>
      <w:p>
        <w:pPr>
          <w:pStyle w:val="Style25"/>
          <w:jc w:val="center"/>
          <w:rPr/>
        </w:pPr>
        <w:r>
          <w:rPr/>
          <mc:AlternateContent>
            <mc:Choice Requires="wps">
              <w:drawing>
                <wp:inline distT="0" distB="0" distL="114300" distR="114300">
                  <wp:extent cx="5467985" cy="45720"/>
                  <wp:effectExtent l="0" t="0" r="0" b="0"/>
                  <wp:docPr id="2" name="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5467320" cy="4500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inline>
              </w:drawing>
            </mc:Choice>
            <mc:Fallback>
              <w:pict>
                <v:shape id="shape_0" fillcolor="black" stroked="f" style="position:absolute;margin-left:0pt;margin-top:-3.6pt;width:430.45pt;height:3.5pt;flip:y;mso-position-vertical:top" type="shapetype_110">
                  <w10:wrap type="none"/>
                  <v:fill o:detectmouseclick="t" type="solid" color2="white"/>
                  <v:stroke color="#3465a4" joinstyle="round" endcap="flat"/>
                </v:shape>
              </w:pict>
            </mc:Fallback>
          </mc:AlternateContent>
        </w:r>
      </w:p>
      <w:p>
        <w:pPr>
          <w:pStyle w:val="Style25"/>
          <w:jc w:val="both"/>
          <w:rPr/>
        </w:pPr>
        <w:r>
          <w:rPr>
            <w:rFonts w:cs="Times New Roman" w:ascii="Times New Roman" w:hAnsi="Times New Roman"/>
            <w:sz w:val="24"/>
          </w:rPr>
          <w:t xml:space="preserve">АО «РЦПД «КАДАСТР» 2024 г.                                                </w:t>
        </w:r>
        <w:r>
          <w:rPr>
            <w:rFonts w:cs="Times New Roman" w:ascii="Times New Roman" w:hAnsi="Times New Roman"/>
            <w:sz w:val="24"/>
          </w:rPr>
          <w:fldChar w:fldCharType="begin"/>
        </w:r>
        <w:r>
          <w:rPr>
            <w:sz w:val="24"/>
            <w:rFonts w:cs="Times New Roman" w:ascii="Times New Roman" w:hAnsi="Times New Roman"/>
          </w:rPr>
          <w:instrText> PAGE </w:instrText>
        </w:r>
        <w:r>
          <w:rPr>
            <w:sz w:val="24"/>
            <w:rFonts w:cs="Times New Roman" w:ascii="Times New Roman" w:hAnsi="Times New Roman"/>
          </w:rPr>
          <w:fldChar w:fldCharType="separate"/>
        </w:r>
        <w:r>
          <w:rPr>
            <w:sz w:val="24"/>
            <w:rFonts w:cs="Times New Roman" w:ascii="Times New Roman" w:hAnsi="Times New Roman"/>
          </w:rPr>
          <w:t>1</w:t>
        </w:r>
        <w:r>
          <w:rPr>
            <w:sz w:val="24"/>
            <w:rFonts w:cs="Times New Roman" w:ascii="Times New Roman" w:hAnsi="Times New Roman"/>
          </w:rPr>
          <w:fldChar w:fldCharType="end"/>
        </w:r>
      </w:p>
    </w:sdtContent>
  </w:sdt>
  <w:p>
    <w:pPr>
      <w:pStyle w:val="Style25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07349018"/>
    </w:sdtPr>
    <w:sdtContent>
      <w:p>
        <w:pPr>
          <w:pStyle w:val="Style25"/>
          <w:jc w:val="center"/>
          <w:rPr/>
        </w:pPr>
        <w:r>
          <w:rPr/>
          <mc:AlternateContent>
            <mc:Choice Requires="wps">
              <w:drawing>
                <wp:inline distT="0" distB="0" distL="114300" distR="114300">
                  <wp:extent cx="5467985" cy="45720"/>
                  <wp:effectExtent l="0" t="0" r="0" b="0"/>
                  <wp:docPr id="3" name="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5467320" cy="4500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inline>
              </w:drawing>
            </mc:Choice>
            <mc:Fallback>
              <w:pict>
                <v:shape id="shape_0" fillcolor="black" stroked="f" style="position:absolute;margin-left:0pt;margin-top:-3.6pt;width:430.45pt;height:3.5pt;flip:y;mso-position-vertical:top" type="shapetype_110">
                  <w10:wrap type="none"/>
                  <v:fill o:detectmouseclick="t" type="solid" color2="white"/>
                  <v:stroke color="#3465a4" joinstyle="round" endcap="flat"/>
                </v:shape>
              </w:pict>
            </mc:Fallback>
          </mc:AlternateContent>
        </w:r>
      </w:p>
      <w:p>
        <w:pPr>
          <w:pStyle w:val="Style25"/>
          <w:jc w:val="both"/>
          <w:rPr/>
        </w:pPr>
        <w:r>
          <w:rPr>
            <w:rFonts w:cs="Times New Roman" w:ascii="Times New Roman" w:hAnsi="Times New Roman"/>
            <w:sz w:val="24"/>
          </w:rPr>
          <w:t xml:space="preserve">АО «РЦПД «КАДАСТР» 2024 г.                                                </w:t>
        </w:r>
        <w:r>
          <w:rPr>
            <w:rFonts w:cs="Times New Roman" w:ascii="Times New Roman" w:hAnsi="Times New Roman"/>
            <w:sz w:val="24"/>
          </w:rPr>
          <w:fldChar w:fldCharType="begin"/>
        </w:r>
        <w:r>
          <w:rPr>
            <w:sz w:val="24"/>
            <w:rFonts w:cs="Times New Roman" w:ascii="Times New Roman" w:hAnsi="Times New Roman"/>
          </w:rPr>
          <w:instrText> PAGE </w:instrText>
        </w:r>
        <w:r>
          <w:rPr>
            <w:sz w:val="24"/>
            <w:rFonts w:cs="Times New Roman" w:ascii="Times New Roman" w:hAnsi="Times New Roman"/>
          </w:rPr>
          <w:fldChar w:fldCharType="separate"/>
        </w:r>
        <w:r>
          <w:rPr>
            <w:sz w:val="24"/>
            <w:rFonts w:cs="Times New Roman" w:ascii="Times New Roman" w:hAnsi="Times New Roman"/>
          </w:rPr>
          <w:t>6</w:t>
        </w:r>
        <w:r>
          <w:rPr>
            <w:sz w:val="24"/>
            <w:rFonts w:cs="Times New Roman" w:ascii="Times New Roman" w:hAnsi="Times New Roman"/>
          </w:rPr>
          <w:fldChar w:fldCharType="end"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988675645"/>
    </w:sdtPr>
    <w:sdtContent>
      <w:p>
        <w:pPr>
          <w:pStyle w:val="Style25"/>
          <w:jc w:val="center"/>
          <w:rPr/>
        </w:pPr>
        <w:r>
          <w:rPr/>
          <mc:AlternateContent>
            <mc:Choice Requires="wps">
              <w:drawing>
                <wp:inline distT="0" distB="0" distL="114300" distR="114300">
                  <wp:extent cx="5467985" cy="45720"/>
                  <wp:effectExtent l="0" t="0" r="0" b="0"/>
                  <wp:docPr id="4" name="AutoShape 1"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 flipV="1">
                            <a:off x="0" y="0"/>
                            <a:ext cx="5467320" cy="45000"/>
                          </a:xfrm>
                          <a:prstGeom prst="flowChartDecision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</a:graphicData>
                  </a:graphic>
                </wp:inline>
              </w:drawing>
            </mc:Choice>
            <mc:Fallback>
              <w:pict>
                <v:shape id="shape_0" ID="AutoShape 1" fillcolor="black" stroked="f" style="position:absolute;margin-left:0pt;margin-top:-3.6pt;width:430.45pt;height:3.5pt;flip:y;mso-position-vertical:top" type="shapetype_110">
                  <w10:wrap type="none"/>
                  <v:fill o:detectmouseclick="t" type="solid" color2="white"/>
                  <v:stroke color="#3465a4" joinstyle="round" endcap="flat"/>
                </v:shape>
              </w:pict>
            </mc:Fallback>
          </mc:AlternateContent>
        </w:r>
      </w:p>
      <w:p>
        <w:pPr>
          <w:pStyle w:val="Style25"/>
          <w:jc w:val="both"/>
          <w:rPr/>
        </w:pPr>
        <w:r>
          <w:rPr>
            <w:rFonts w:cs="Times New Roman" w:ascii="Times New Roman" w:hAnsi="Times New Roman"/>
            <w:sz w:val="24"/>
          </w:rPr>
          <w:t xml:space="preserve">АО «РЦПД «КАДАСТР» 2024г.                                                </w:t>
        </w:r>
        <w:r>
          <w:rPr>
            <w:rFonts w:cs="Times New Roman" w:ascii="Times New Roman" w:hAnsi="Times New Roman"/>
            <w:sz w:val="24"/>
          </w:rPr>
          <w:fldChar w:fldCharType="begin"/>
        </w:r>
        <w:r>
          <w:rPr>
            <w:sz w:val="24"/>
            <w:rFonts w:cs="Times New Roman" w:ascii="Times New Roman" w:hAnsi="Times New Roman"/>
          </w:rPr>
          <w:instrText> PAGE </w:instrText>
        </w:r>
        <w:r>
          <w:rPr>
            <w:sz w:val="24"/>
            <w:rFonts w:cs="Times New Roman" w:ascii="Times New Roman" w:hAnsi="Times New Roman"/>
          </w:rPr>
          <w:fldChar w:fldCharType="separate"/>
        </w:r>
        <w:r>
          <w:rPr>
            <w:sz w:val="24"/>
            <w:rFonts w:cs="Times New Roman" w:ascii="Times New Roman" w:hAnsi="Times New Roman"/>
          </w:rPr>
          <w:t>10</w:t>
        </w:r>
        <w:r>
          <w:rPr>
            <w:sz w:val="24"/>
            <w:rFonts w:cs="Times New Roman" w:ascii="Times New Roman" w:hAnsi="Times New Roman"/>
          </w:rPr>
          <w:fldChar w:fldCharType="end"/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>
        <w:u w:val="single"/>
      </w:rPr>
    </w:pPr>
    <w:r>
      <w:rPr>
        <w:rFonts w:eastAsia="" w:cs="Times New Roman" w:ascii="Times New Roman" w:hAnsi="Times New Roman" w:eastAsiaTheme="majorEastAsia"/>
        <w:sz w:val="24"/>
        <w:szCs w:val="24"/>
        <w:u w:val="single"/>
      </w:rPr>
      <w:t>Генеральный план Татарско-Тавлинского сельского поселения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>
        <w:u w:val="single"/>
      </w:rPr>
    </w:pPr>
    <w:r>
      <w:rPr>
        <w:rFonts w:eastAsia="" w:cs="Times New Roman" w:ascii="Times New Roman" w:hAnsi="Times New Roman" w:eastAsiaTheme="majorEastAsia"/>
        <w:sz w:val="24"/>
        <w:szCs w:val="24"/>
        <w:u w:val="single"/>
      </w:rPr>
      <w:t>Генеральный план Татарско-Тавлинского сельского поселения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>
        <w:rFonts w:eastAsia="" w:cs="Times New Roman" w:ascii="Times New Roman" w:hAnsi="Times New Roman" w:eastAsiaTheme="majorEastAsia"/>
        <w:sz w:val="24"/>
        <w:szCs w:val="24"/>
        <w:u w:val="single"/>
      </w:rPr>
      <w:t>Генеральный план Татарско-Тавлинского сельского поселения</w: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>
        <w:u w:val="single"/>
      </w:rPr>
    </w:pPr>
    <w:r>
      <w:rPr>
        <w:rFonts w:eastAsia="" w:cs="Times New Roman" w:ascii="Times New Roman" w:hAnsi="Times New Roman" w:eastAsiaTheme="majorEastAsia"/>
        <w:sz w:val="24"/>
        <w:szCs w:val="24"/>
        <w:u w:val="single"/>
      </w:rPr>
      <w:t>Генеральный план Татарско-Тавлинского сельского поселения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"/>
      <w:lvlJc w:val="left"/>
      <w:pPr>
        <w:ind w:left="1264" w:hanging="555"/>
      </w:pPr>
    </w:lvl>
    <w:lvl w:ilvl="2">
      <w:start w:val="1"/>
      <w:numFmt w:val="decimal"/>
      <w:lvlText w:val="%1.%2.%3"/>
      <w:lvlJc w:val="left"/>
      <w:pPr>
        <w:ind w:left="1429" w:hanging="720"/>
      </w:pPr>
    </w:lvl>
    <w:lvl w:ilvl="3">
      <w:start w:val="1"/>
      <w:numFmt w:val="decimal"/>
      <w:lvlText w:val="%1.%2.%3.%4"/>
      <w:lvlJc w:val="left"/>
      <w:pPr>
        <w:ind w:left="1429" w:hanging="720"/>
      </w:pPr>
    </w:lvl>
    <w:lvl w:ilvl="4">
      <w:start w:val="1"/>
      <w:numFmt w:val="decimal"/>
      <w:lvlText w:val="%1.%2.%3.%4.%5"/>
      <w:lvlJc w:val="left"/>
      <w:pPr>
        <w:ind w:left="1789" w:hanging="1080"/>
      </w:pPr>
    </w:lvl>
    <w:lvl w:ilvl="5">
      <w:start w:val="1"/>
      <w:numFmt w:val="decimal"/>
      <w:lvlText w:val="%1.%2.%3.%4.%5.%6"/>
      <w:lvlJc w:val="left"/>
      <w:pPr>
        <w:ind w:left="1789" w:hanging="1080"/>
      </w:pPr>
    </w:lvl>
    <w:lvl w:ilvl="6">
      <w:start w:val="1"/>
      <w:numFmt w:val="decimal"/>
      <w:lvlText w:val="%1.%2.%3.%4.%5.%6.%7"/>
      <w:lvlJc w:val="left"/>
      <w:pPr>
        <w:ind w:left="2149" w:hanging="1440"/>
      </w:pPr>
    </w:lvl>
    <w:lvl w:ilvl="7">
      <w:start w:val="1"/>
      <w:numFmt w:val="decimal"/>
      <w:lvlText w:val="%1.%2.%3.%4.%5.%6.%7.%8"/>
      <w:lvlJc w:val="left"/>
      <w:pPr>
        <w:ind w:left="2149" w:hanging="1440"/>
      </w:pPr>
    </w:lvl>
    <w:lvl w:ilvl="8">
      <w:start w:val="1"/>
      <w:numFmt w:val="decimal"/>
      <w:lvlText w:val="%1.%2.%3.%4.%5.%6.%7.%8.%9"/>
      <w:lvlJc w:val="left"/>
      <w:pPr>
        <w:ind w:left="2149" w:hanging="1440"/>
      </w:pPr>
    </w:lvl>
  </w:abstractNum>
  <w:abstractNum w:abstractNumId="2">
    <w:lvl w:ilvl="0">
      <w:start w:val="2"/>
      <w:numFmt w:val="decimal"/>
      <w:lvlText w:val="%1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lvl w:ilvl="0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"/>
      <w:lvlJc w:val="left"/>
      <w:pPr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"/>
      <w:lvlJc w:val="left"/>
      <w:pPr>
        <w:ind w:left="432" w:hanging="432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7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76a8f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0"/>
    <w:uiPriority w:val="9"/>
    <w:qFormat/>
    <w:rsid w:val="00166af6"/>
    <w:pPr>
      <w:keepNext w:val="true"/>
      <w:spacing w:before="240" w:after="60"/>
      <w:outlineLvl w:val="0"/>
    </w:pPr>
    <w:rPr>
      <w:rFonts w:ascii="Cambria" w:hAnsi="Cambria" w:eastAsia="Times New Roman" w:cs="Times New Roman"/>
      <w:b/>
      <w:bCs/>
      <w:kern w:val="2"/>
      <w:sz w:val="32"/>
      <w:szCs w:val="32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166af6"/>
    <w:pPr>
      <w:keepNext w:val="true"/>
      <w:spacing w:before="240" w:after="60"/>
      <w:outlineLvl w:val="1"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166af6"/>
    <w:pPr>
      <w:keepNext w:val="true"/>
      <w:spacing w:before="240" w:after="60"/>
      <w:outlineLvl w:val="2"/>
    </w:pPr>
    <w:rPr>
      <w:rFonts w:ascii="Cambria" w:hAnsi="Cambria" w:eastAsia="Times New Roman" w:cs="Times New Roman"/>
      <w:b/>
      <w:bCs/>
      <w:sz w:val="26"/>
      <w:szCs w:val="26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166af6"/>
    <w:pPr>
      <w:keepNext w:val="true"/>
      <w:spacing w:before="240" w:after="60"/>
      <w:outlineLvl w:val="3"/>
    </w:pPr>
    <w:rPr>
      <w:rFonts w:ascii="Calibri" w:hAnsi="Calibri" w:eastAsia="Times New Roman" w:cs="Times New Roman"/>
      <w:b/>
      <w:bCs/>
      <w:sz w:val="28"/>
      <w:szCs w:val="28"/>
    </w:rPr>
  </w:style>
  <w:style w:type="paragraph" w:styleId="5">
    <w:name w:val="Heading 5"/>
    <w:basedOn w:val="Normal"/>
    <w:next w:val="Normal"/>
    <w:link w:val="50"/>
    <w:uiPriority w:val="9"/>
    <w:unhideWhenUsed/>
    <w:qFormat/>
    <w:rsid w:val="00166af6"/>
    <w:pPr>
      <w:spacing w:before="240" w:after="60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link w:val="60"/>
    <w:uiPriority w:val="9"/>
    <w:semiHidden/>
    <w:unhideWhenUsed/>
    <w:qFormat/>
    <w:rsid w:val="00166af6"/>
    <w:pPr>
      <w:spacing w:before="240" w:after="60"/>
      <w:outlineLvl w:val="5"/>
    </w:pPr>
    <w:rPr>
      <w:rFonts w:ascii="Calibri" w:hAnsi="Calibri" w:eastAsia="Times New Roman" w:cs="Times New Roman"/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Текст Знак"/>
    <w:basedOn w:val="DefaultParagraphFont"/>
    <w:link w:val="a3"/>
    <w:qFormat/>
    <w:rsid w:val="00166af6"/>
    <w:rPr>
      <w:rFonts w:ascii="Courier New" w:hAnsi="Courier New" w:eastAsia="Times New Roman" w:cs="Courier New"/>
      <w:sz w:val="20"/>
      <w:szCs w:val="20"/>
    </w:rPr>
  </w:style>
  <w:style w:type="character" w:styleId="Style9" w:customStyle="1">
    <w:name w:val="Верхний колонтитул Знак"/>
    <w:basedOn w:val="DefaultParagraphFont"/>
    <w:link w:val="a5"/>
    <w:qFormat/>
    <w:rsid w:val="00166af6"/>
    <w:rPr/>
  </w:style>
  <w:style w:type="character" w:styleId="Style10" w:customStyle="1">
    <w:name w:val="Нижний колонтитул Знак"/>
    <w:basedOn w:val="DefaultParagraphFont"/>
    <w:link w:val="a7"/>
    <w:uiPriority w:val="99"/>
    <w:qFormat/>
    <w:rsid w:val="00166af6"/>
    <w:rPr/>
  </w:style>
  <w:style w:type="character" w:styleId="Style11" w:customStyle="1">
    <w:name w:val="Текст выноски Знак"/>
    <w:basedOn w:val="DefaultParagraphFont"/>
    <w:link w:val="a9"/>
    <w:uiPriority w:val="99"/>
    <w:semiHidden/>
    <w:qFormat/>
    <w:rsid w:val="00166af6"/>
    <w:rPr>
      <w:rFonts w:ascii="Tahoma" w:hAnsi="Tahoma" w:cs="Tahoma"/>
      <w:sz w:val="16"/>
      <w:szCs w:val="16"/>
    </w:rPr>
  </w:style>
  <w:style w:type="character" w:styleId="11" w:customStyle="1">
    <w:name w:val="Заголовок 1 Знак"/>
    <w:basedOn w:val="DefaultParagraphFont"/>
    <w:link w:val="1"/>
    <w:uiPriority w:val="9"/>
    <w:qFormat/>
    <w:rsid w:val="00166af6"/>
    <w:rPr>
      <w:rFonts w:ascii="Cambria" w:hAnsi="Cambria" w:eastAsia="Times New Roman" w:cs="Times New Roman"/>
      <w:b/>
      <w:bCs/>
      <w:kern w:val="2"/>
      <w:sz w:val="32"/>
      <w:szCs w:val="32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166af6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166af6"/>
    <w:rPr>
      <w:rFonts w:ascii="Cambria" w:hAnsi="Cambria" w:eastAsia="Times New Roman" w:cs="Times New Roman"/>
      <w:b/>
      <w:bCs/>
      <w:sz w:val="26"/>
      <w:szCs w:val="26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166af6"/>
    <w:rPr>
      <w:rFonts w:ascii="Calibri" w:hAnsi="Calibri" w:eastAsia="Times New Roman" w:cs="Times New Roman"/>
      <w:b/>
      <w:bCs/>
      <w:sz w:val="28"/>
      <w:szCs w:val="28"/>
    </w:rPr>
  </w:style>
  <w:style w:type="character" w:styleId="51" w:customStyle="1">
    <w:name w:val="Заголовок 5 Знак"/>
    <w:basedOn w:val="DefaultParagraphFont"/>
    <w:link w:val="5"/>
    <w:uiPriority w:val="9"/>
    <w:qFormat/>
    <w:rsid w:val="00166af6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61" w:customStyle="1">
    <w:name w:val="Заголовок 6 Знак"/>
    <w:basedOn w:val="DefaultParagraphFont"/>
    <w:link w:val="6"/>
    <w:uiPriority w:val="9"/>
    <w:semiHidden/>
    <w:qFormat/>
    <w:rsid w:val="00166af6"/>
    <w:rPr>
      <w:rFonts w:ascii="Calibri" w:hAnsi="Calibri" w:eastAsia="Times New Roman" w:cs="Times New Roman"/>
      <w:b/>
      <w:bCs/>
    </w:rPr>
  </w:style>
  <w:style w:type="character" w:styleId="Style12" w:customStyle="1">
    <w:name w:val="Название Знак"/>
    <w:basedOn w:val="DefaultParagraphFont"/>
    <w:link w:val="af"/>
    <w:uiPriority w:val="10"/>
    <w:qFormat/>
    <w:rsid w:val="00166af6"/>
    <w:rPr>
      <w:rFonts w:ascii="Cambria" w:hAnsi="Cambria" w:eastAsia="Times New Roman" w:cs="Times New Roman"/>
      <w:b/>
      <w:bCs/>
      <w:kern w:val="2"/>
      <w:sz w:val="32"/>
      <w:szCs w:val="32"/>
      <w:lang w:val="en-US" w:eastAsia="en-US" w:bidi="en-US"/>
    </w:rPr>
  </w:style>
  <w:style w:type="character" w:styleId="Style13">
    <w:name w:val="Интернет-ссылка"/>
    <w:basedOn w:val="DefaultParagraphFont"/>
    <w:uiPriority w:val="99"/>
    <w:unhideWhenUsed/>
    <w:rsid w:val="00166af6"/>
    <w:rPr>
      <w:color w:val="0000FF"/>
      <w:u w:val="single"/>
    </w:rPr>
  </w:style>
  <w:style w:type="character" w:styleId="Style14" w:customStyle="1">
    <w:name w:val="Схема документа Знак"/>
    <w:basedOn w:val="DefaultParagraphFont"/>
    <w:link w:val="af2"/>
    <w:uiPriority w:val="99"/>
    <w:semiHidden/>
    <w:qFormat/>
    <w:rsid w:val="00166af6"/>
    <w:rPr>
      <w:rFonts w:ascii="Tahoma" w:hAnsi="Tahoma" w:eastAsia="Times New Roman" w:cs="Tahoma"/>
      <w:sz w:val="16"/>
      <w:szCs w:val="16"/>
    </w:rPr>
  </w:style>
  <w:style w:type="character" w:styleId="S" w:customStyle="1">
    <w:name w:val="S_Маркированный Знак"/>
    <w:basedOn w:val="DefaultParagraphFont"/>
    <w:link w:val="S"/>
    <w:qFormat/>
    <w:rsid w:val="00166af6"/>
    <w:rPr>
      <w:rFonts w:ascii="Times New Roman" w:hAnsi="Times New Roman" w:eastAsia="Times New Roman" w:cs="Times New Roman"/>
      <w:b/>
      <w:i/>
      <w:sz w:val="28"/>
      <w:szCs w:val="28"/>
    </w:rPr>
  </w:style>
  <w:style w:type="character" w:styleId="S1" w:customStyle="1">
    <w:name w:val="S_Обычный Знак"/>
    <w:basedOn w:val="DefaultParagraphFont"/>
    <w:link w:val="S1"/>
    <w:qFormat/>
    <w:rsid w:val="00aa2373"/>
    <w:rPr>
      <w:rFonts w:ascii="Times New Roman" w:hAnsi="Times New Roman" w:eastAsia="" w:cs="Times New Roman" w:eastAsiaTheme="majorEastAsia"/>
      <w:b/>
      <w:sz w:val="24"/>
      <w:szCs w:val="24"/>
    </w:rPr>
  </w:style>
  <w:style w:type="character" w:styleId="12" w:customStyle="1">
    <w:name w:val="Заголовок_12"/>
    <w:semiHidden/>
    <w:qFormat/>
    <w:rsid w:val="00166af6"/>
    <w:rPr>
      <w:b/>
    </w:rPr>
  </w:style>
  <w:style w:type="character" w:styleId="Normal1" w:customStyle="1">
    <w:name w:val="Normal Знак"/>
    <w:basedOn w:val="DefaultParagraphFont"/>
    <w:link w:val="13"/>
    <w:qFormat/>
    <w:rsid w:val="00166af6"/>
    <w:rPr>
      <w:rFonts w:ascii="Times New Roman" w:hAnsi="Times New Roman" w:eastAsia="Times New Roman" w:cs="Times New Roman"/>
      <w:szCs w:val="20"/>
    </w:rPr>
  </w:style>
  <w:style w:type="character" w:styleId="Normal1002" w:customStyle="1">
    <w:name w:val="Normal + 10 пт полужирный По центру Слева:  -02 см Справ... Знак"/>
    <w:basedOn w:val="DefaultParagraphFont"/>
    <w:link w:val="Normal10-02"/>
    <w:qFormat/>
    <w:rsid w:val="00166af6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22" w:customStyle="1">
    <w:name w:val="Основной текст с отступом 2 Знак"/>
    <w:basedOn w:val="DefaultParagraphFont"/>
    <w:link w:val="22"/>
    <w:uiPriority w:val="99"/>
    <w:semiHidden/>
    <w:qFormat/>
    <w:rsid w:val="00166af6"/>
    <w:rPr>
      <w:rFonts w:ascii="Calibri" w:hAnsi="Calibri" w:eastAsia="Times New Roman" w:cs="Times New Roman"/>
      <w:sz w:val="24"/>
      <w:szCs w:val="24"/>
      <w:lang w:val="en-US" w:eastAsia="en-US" w:bidi="en-US"/>
    </w:rPr>
  </w:style>
  <w:style w:type="character" w:styleId="Style15" w:customStyle="1">
    <w:name w:val="Основной текст Знак"/>
    <w:basedOn w:val="DefaultParagraphFont"/>
    <w:link w:val="af5"/>
    <w:uiPriority w:val="99"/>
    <w:qFormat/>
    <w:rsid w:val="00166af6"/>
    <w:rPr>
      <w:rFonts w:ascii="Calibri" w:hAnsi="Calibri" w:eastAsia="Times New Roman" w:cs="Calibri"/>
      <w:sz w:val="24"/>
      <w:szCs w:val="24"/>
      <w:lang w:val="en-US" w:eastAsia="en-US" w:bidi="en-US"/>
    </w:rPr>
  </w:style>
  <w:style w:type="character" w:styleId="FontStyle14" w:customStyle="1">
    <w:name w:val="Font Style14"/>
    <w:basedOn w:val="DefaultParagraphFont"/>
    <w:uiPriority w:val="99"/>
    <w:qFormat/>
    <w:rsid w:val="00166af6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FontStyle15" w:customStyle="1">
    <w:name w:val="Font Style15"/>
    <w:basedOn w:val="DefaultParagraphFont"/>
    <w:uiPriority w:val="99"/>
    <w:qFormat/>
    <w:rsid w:val="00166af6"/>
    <w:rPr>
      <w:rFonts w:ascii="Times New Roman" w:hAnsi="Times New Roman" w:cs="Times New Roman"/>
      <w:sz w:val="26"/>
      <w:szCs w:val="26"/>
    </w:rPr>
  </w:style>
  <w:style w:type="character" w:styleId="FontStyle16" w:customStyle="1">
    <w:name w:val="Font Style16"/>
    <w:basedOn w:val="DefaultParagraphFont"/>
    <w:uiPriority w:val="99"/>
    <w:qFormat/>
    <w:rsid w:val="00166af6"/>
    <w:rPr>
      <w:rFonts w:ascii="Times New Roman" w:hAnsi="Times New Roman" w:cs="Times New Roman"/>
      <w:b/>
      <w:bCs/>
      <w:sz w:val="26"/>
      <w:szCs w:val="26"/>
    </w:rPr>
  </w:style>
  <w:style w:type="character" w:styleId="Style16" w:customStyle="1">
    <w:name w:val="Основной текст с отступом Знак"/>
    <w:basedOn w:val="DefaultParagraphFont"/>
    <w:link w:val="af7"/>
    <w:uiPriority w:val="99"/>
    <w:semiHidden/>
    <w:qFormat/>
    <w:rsid w:val="00166af6"/>
    <w:rPr>
      <w:rFonts w:ascii="Calibri" w:hAnsi="Calibri" w:eastAsia="Times New Roman" w:cs="Times New Roman"/>
    </w:rPr>
  </w:style>
  <w:style w:type="character" w:styleId="S11" w:customStyle="1">
    <w:name w:val="S_Маркированный Знак1"/>
    <w:basedOn w:val="DefaultParagraphFont"/>
    <w:qFormat/>
    <w:rsid w:val="00166af6"/>
    <w:rPr>
      <w:rFonts w:ascii="Times New Roman" w:hAnsi="Times New Roman" w:cs="Arial"/>
      <w:sz w:val="24"/>
    </w:rPr>
  </w:style>
  <w:style w:type="character" w:styleId="S3" w:customStyle="1">
    <w:name w:val="S_Заголовок 3 Знак"/>
    <w:basedOn w:val="DefaultParagraphFont"/>
    <w:link w:val="S3"/>
    <w:qFormat/>
    <w:rsid w:val="00166af6"/>
    <w:rPr>
      <w:rFonts w:ascii="Times New Roman" w:hAnsi="Times New Roman" w:eastAsia="Times New Roman" w:cs="Times New Roman"/>
      <w:sz w:val="24"/>
      <w:szCs w:val="24"/>
      <w:u w:val="single"/>
    </w:rPr>
  </w:style>
  <w:style w:type="character" w:styleId="S4" w:customStyle="1">
    <w:name w:val="S_Заголовок 4 Знак"/>
    <w:basedOn w:val="41"/>
    <w:link w:val="S4"/>
    <w:qFormat/>
    <w:rsid w:val="00166af6"/>
    <w:rPr>
      <w:rFonts w:ascii="Times New Roman" w:hAnsi="Times New Roman" w:eastAsia="Times New Roman" w:cs="Times New Roman"/>
      <w:b/>
      <w:bCs/>
      <w:i/>
      <w:sz w:val="24"/>
      <w:szCs w:val="24"/>
    </w:rPr>
  </w:style>
  <w:style w:type="character" w:styleId="ConsPlusNormal" w:customStyle="1">
    <w:name w:val="ConsPlusNormal Знак"/>
    <w:link w:val="ConsPlusNormal"/>
    <w:qFormat/>
    <w:locked/>
    <w:rsid w:val="00441452"/>
    <w:rPr>
      <w:rFonts w:ascii="Arial" w:hAnsi="Arial" w:eastAsia="Times New Roman" w:cs="Arial"/>
      <w:sz w:val="20"/>
      <w:szCs w:val="20"/>
    </w:rPr>
  </w:style>
  <w:style w:type="character" w:styleId="Style17" w:customStyle="1">
    <w:name w:val="Абзац списка Знак"/>
    <w:link w:val="ac"/>
    <w:qFormat/>
    <w:locked/>
    <w:rsid w:val="00d45693"/>
    <w:rPr>
      <w:rFonts w:ascii="Calibri" w:hAnsi="Calibri" w:eastAsia="Times New Roman" w:cs="Times New Roman"/>
    </w:rPr>
  </w:style>
  <w:style w:type="character" w:styleId="Style18" w:customStyle="1">
    <w:name w:val="Название объекта Знак"/>
    <w:link w:val="afc"/>
    <w:uiPriority w:val="35"/>
    <w:qFormat/>
    <w:rsid w:val="00972c0e"/>
    <w:rPr>
      <w:rFonts w:ascii="Calibri" w:hAnsi="Calibri" w:eastAsia="Times New Roman" w:cs="Times New Roman"/>
      <w:b/>
      <w:bCs/>
      <w:color w:val="4F81BD" w:themeColor="accent1"/>
      <w:sz w:val="18"/>
      <w:szCs w:val="18"/>
    </w:rPr>
  </w:style>
  <w:style w:type="character" w:styleId="Grame" w:customStyle="1">
    <w:name w:val="grame"/>
    <w:basedOn w:val="DefaultParagraphFont"/>
    <w:qFormat/>
    <w:rsid w:val="00225960"/>
    <w:rPr/>
  </w:style>
  <w:style w:type="character" w:styleId="S12" w:customStyle="1">
    <w:name w:val="s1"/>
    <w:basedOn w:val="DefaultParagraphFont"/>
    <w:qFormat/>
    <w:rsid w:val="00bb7622"/>
    <w:rPr/>
  </w:style>
  <w:style w:type="character" w:styleId="111" w:customStyle="1">
    <w:name w:val="Табличный_боковик_11 Знак"/>
    <w:link w:val="110"/>
    <w:qFormat/>
    <w:rsid w:val="007a4ebb"/>
    <w:rPr>
      <w:rFonts w:ascii="Times New Roman" w:hAnsi="Times New Roman" w:eastAsia="Times New Roman" w:cs="Times New Roman"/>
      <w:szCs w:val="24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0">
    <w:name w:val="Body Text"/>
    <w:basedOn w:val="Normal"/>
    <w:link w:val="af6"/>
    <w:uiPriority w:val="99"/>
    <w:rsid w:val="00166af6"/>
    <w:pPr>
      <w:spacing w:lineRule="auto" w:line="240" w:before="0" w:after="120"/>
    </w:pPr>
    <w:rPr>
      <w:rFonts w:ascii="Calibri" w:hAnsi="Calibri" w:eastAsia="Times New Roman" w:cs="Calibri"/>
      <w:sz w:val="24"/>
      <w:szCs w:val="24"/>
      <w:lang w:val="en-US" w:eastAsia="en-US" w:bidi="en-US"/>
    </w:rPr>
  </w:style>
  <w:style w:type="paragraph" w:styleId="Style21">
    <w:name w:val="List"/>
    <w:basedOn w:val="Style20"/>
    <w:pPr/>
    <w:rPr>
      <w:rFonts w:cs="Mangal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Mangal"/>
    </w:rPr>
  </w:style>
  <w:style w:type="paragraph" w:styleId="PlainText">
    <w:name w:val="Plain Text"/>
    <w:basedOn w:val="Normal"/>
    <w:link w:val="a4"/>
    <w:qFormat/>
    <w:rsid w:val="00166af6"/>
    <w:pPr>
      <w:spacing w:lineRule="auto" w:line="240" w:before="0" w:after="0"/>
      <w:jc w:val="both"/>
    </w:pPr>
    <w:rPr>
      <w:rFonts w:ascii="Courier New" w:hAnsi="Courier New" w:eastAsia="Times New Roman" w:cs="Courier New"/>
      <w:sz w:val="20"/>
      <w:szCs w:val="20"/>
    </w:rPr>
  </w:style>
  <w:style w:type="paragraph" w:styleId="Style24">
    <w:name w:val="Header"/>
    <w:basedOn w:val="Normal"/>
    <w:link w:val="a6"/>
    <w:unhideWhenUsed/>
    <w:rsid w:val="00166af6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5">
    <w:name w:val="Footer"/>
    <w:basedOn w:val="Normal"/>
    <w:link w:val="a8"/>
    <w:uiPriority w:val="99"/>
    <w:unhideWhenUsed/>
    <w:rsid w:val="00166af6"/>
    <w:pPr>
      <w:tabs>
        <w:tab w:val="clear" w:pos="709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aa"/>
    <w:uiPriority w:val="99"/>
    <w:semiHidden/>
    <w:unhideWhenUsed/>
    <w:qFormat/>
    <w:rsid w:val="00166af6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Style26" w:customStyle="1">
    <w:name w:val="Второй уровень"/>
    <w:basedOn w:val="ListParagraph"/>
    <w:qFormat/>
    <w:rsid w:val="00166af6"/>
    <w:pPr>
      <w:spacing w:lineRule="auto" w:line="312" w:before="120" w:after="120"/>
      <w:ind w:left="792" w:hanging="432"/>
      <w:jc w:val="center"/>
    </w:pPr>
    <w:rPr>
      <w:rFonts w:cs="Calibri"/>
      <w:b/>
      <w:bCs/>
      <w:sz w:val="24"/>
      <w:szCs w:val="24"/>
      <w:lang w:val="en-US" w:eastAsia="en-US" w:bidi="en-US"/>
    </w:rPr>
  </w:style>
  <w:style w:type="paragraph" w:styleId="ListParagraph">
    <w:name w:val="List Paragraph"/>
    <w:basedOn w:val="Normal"/>
    <w:link w:val="ad"/>
    <w:uiPriority w:val="34"/>
    <w:qFormat/>
    <w:rsid w:val="00166af6"/>
    <w:pPr>
      <w:ind w:left="708" w:hanging="0"/>
    </w:pPr>
    <w:rPr>
      <w:rFonts w:ascii="Calibri" w:hAnsi="Calibri" w:eastAsia="Times New Roman" w:cs="Times New Roman"/>
    </w:rPr>
  </w:style>
  <w:style w:type="paragraph" w:styleId="Style27">
    <w:name w:val="Title"/>
    <w:basedOn w:val="Normal"/>
    <w:next w:val="Normal"/>
    <w:link w:val="af0"/>
    <w:uiPriority w:val="10"/>
    <w:qFormat/>
    <w:rsid w:val="00166af6"/>
    <w:pPr>
      <w:spacing w:lineRule="auto" w:line="240" w:before="240" w:after="60"/>
      <w:jc w:val="center"/>
      <w:outlineLvl w:val="0"/>
    </w:pPr>
    <w:rPr>
      <w:rFonts w:ascii="Cambria" w:hAnsi="Cambria" w:eastAsia="Times New Roman" w:cs="Times New Roman"/>
      <w:b/>
      <w:bCs/>
      <w:kern w:val="2"/>
      <w:sz w:val="32"/>
      <w:szCs w:val="32"/>
      <w:lang w:val="en-US" w:eastAsia="en-US" w:bidi="en-US"/>
    </w:rPr>
  </w:style>
  <w:style w:type="paragraph" w:styleId="13">
    <w:name w:val="TOC 1"/>
    <w:basedOn w:val="Normal"/>
    <w:next w:val="Normal"/>
    <w:autoRedefine/>
    <w:uiPriority w:val="39"/>
    <w:unhideWhenUsed/>
    <w:rsid w:val="00116357"/>
    <w:pPr>
      <w:tabs>
        <w:tab w:val="clear" w:pos="709"/>
        <w:tab w:val="left" w:pos="440" w:leader="none"/>
        <w:tab w:val="right" w:pos="9345" w:leader="dot"/>
      </w:tabs>
      <w:spacing w:lineRule="auto" w:line="360" w:before="0" w:after="0"/>
    </w:pPr>
    <w:rPr>
      <w:rFonts w:ascii="Calibri" w:hAnsi="Calibri" w:eastAsia="Times New Roman" w:cs="Times New Roman"/>
    </w:rPr>
  </w:style>
  <w:style w:type="paragraph" w:styleId="DocumentMap">
    <w:name w:val="Document Map"/>
    <w:basedOn w:val="Normal"/>
    <w:link w:val="af3"/>
    <w:uiPriority w:val="99"/>
    <w:semiHidden/>
    <w:unhideWhenUsed/>
    <w:qFormat/>
    <w:rsid w:val="00166af6"/>
    <w:pPr/>
    <w:rPr>
      <w:rFonts w:ascii="Tahoma" w:hAnsi="Tahoma" w:eastAsia="Times New Roman" w:cs="Tahoma"/>
      <w:sz w:val="16"/>
      <w:szCs w:val="16"/>
    </w:rPr>
  </w:style>
  <w:style w:type="paragraph" w:styleId="23">
    <w:name w:val="TOC 2"/>
    <w:basedOn w:val="Normal"/>
    <w:next w:val="Normal"/>
    <w:autoRedefine/>
    <w:uiPriority w:val="39"/>
    <w:unhideWhenUsed/>
    <w:rsid w:val="00166af6"/>
    <w:pPr>
      <w:ind w:left="220" w:hanging="0"/>
    </w:pPr>
    <w:rPr>
      <w:rFonts w:ascii="Calibri" w:hAnsi="Calibri" w:eastAsia="Times New Roman" w:cs="Times New Roman"/>
    </w:rPr>
  </w:style>
  <w:style w:type="paragraph" w:styleId="S2" w:customStyle="1">
    <w:name w:val="S_Маркированный"/>
    <w:basedOn w:val="ListBullet"/>
    <w:link w:val="S0"/>
    <w:autoRedefine/>
    <w:qFormat/>
    <w:locked/>
    <w:rsid w:val="00166af6"/>
    <w:pPr>
      <w:tabs>
        <w:tab w:val="clear" w:pos="709"/>
        <w:tab w:val="left" w:pos="993" w:leader="none"/>
      </w:tabs>
      <w:spacing w:before="0" w:after="0"/>
      <w:ind w:left="0" w:hanging="0"/>
      <w:jc w:val="both"/>
    </w:pPr>
    <w:rPr>
      <w:rFonts w:ascii="Times New Roman" w:hAnsi="Times New Roman"/>
      <w:b/>
      <w:i/>
      <w:sz w:val="28"/>
      <w:szCs w:val="28"/>
    </w:rPr>
  </w:style>
  <w:style w:type="paragraph" w:styleId="ListBullet">
    <w:name w:val="List Bullet"/>
    <w:basedOn w:val="Normal"/>
    <w:uiPriority w:val="99"/>
    <w:unhideWhenUsed/>
    <w:qFormat/>
    <w:rsid w:val="00166af6"/>
    <w:pPr>
      <w:spacing w:before="0" w:after="200"/>
      <w:ind w:left="1080" w:hanging="360"/>
      <w:contextualSpacing/>
    </w:pPr>
    <w:rPr>
      <w:rFonts w:ascii="Calibri" w:hAnsi="Calibri" w:eastAsia="Times New Roman" w:cs="Times New Roman"/>
    </w:rPr>
  </w:style>
  <w:style w:type="paragraph" w:styleId="S5" w:customStyle="1">
    <w:name w:val="S_Обычный"/>
    <w:basedOn w:val="Normal"/>
    <w:link w:val="S2"/>
    <w:autoRedefine/>
    <w:qFormat/>
    <w:rsid w:val="00aa2373"/>
    <w:pPr>
      <w:tabs>
        <w:tab w:val="clear" w:pos="709"/>
        <w:tab w:val="left" w:pos="1134" w:leader="none"/>
      </w:tabs>
      <w:spacing w:before="0" w:after="0"/>
      <w:ind w:firstLine="851"/>
    </w:pPr>
    <w:rPr>
      <w:rFonts w:ascii="Times New Roman" w:hAnsi="Times New Roman" w:eastAsia="" w:cs="Times New Roman" w:eastAsiaTheme="majorEastAsia"/>
      <w:b/>
      <w:sz w:val="24"/>
      <w:szCs w:val="24"/>
    </w:rPr>
  </w:style>
  <w:style w:type="paragraph" w:styleId="S13" w:customStyle="1">
    <w:name w:val="S_Заголовок 1"/>
    <w:basedOn w:val="Normal"/>
    <w:qFormat/>
    <w:rsid w:val="00166af6"/>
    <w:pPr>
      <w:spacing w:lineRule="auto" w:line="240" w:before="0" w:after="0"/>
      <w:jc w:val="center"/>
    </w:pPr>
    <w:rPr>
      <w:rFonts w:ascii="Times New Roman" w:hAnsi="Times New Roman" w:eastAsia="Times New Roman" w:cs="Times New Roman"/>
      <w:caps/>
      <w:sz w:val="24"/>
      <w:szCs w:val="24"/>
    </w:rPr>
  </w:style>
  <w:style w:type="paragraph" w:styleId="14" w:customStyle="1">
    <w:name w:val="Обычный1"/>
    <w:link w:val="Normal"/>
    <w:qFormat/>
    <w:rsid w:val="00166af6"/>
    <w:pPr>
      <w:widowControl/>
      <w:bidi w:val="0"/>
      <w:snapToGrid w:val="false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Normal10021" w:customStyle="1">
    <w:name w:val="Normal + 10 пт полужирный По центру Слева:  -02 см Справ..."/>
    <w:basedOn w:val="Normal"/>
    <w:link w:val="Normal10-020"/>
    <w:qFormat/>
    <w:rsid w:val="00166af6"/>
    <w:pPr>
      <w:spacing w:lineRule="auto" w:line="240" w:before="0" w:after="0"/>
      <w:ind w:left="-113" w:right="-113" w:hanging="0"/>
      <w:jc w:val="center"/>
    </w:pPr>
    <w:rPr>
      <w:rFonts w:ascii="Times New Roman" w:hAnsi="Times New Roman" w:eastAsia="Times New Roman" w:cs="Times New Roman"/>
      <w:b/>
      <w:bCs/>
      <w:sz w:val="20"/>
      <w:szCs w:val="20"/>
    </w:rPr>
  </w:style>
  <w:style w:type="paragraph" w:styleId="32">
    <w:name w:val="TOC 3"/>
    <w:basedOn w:val="Normal"/>
    <w:next w:val="Normal"/>
    <w:autoRedefine/>
    <w:uiPriority w:val="39"/>
    <w:unhideWhenUsed/>
    <w:rsid w:val="00166af6"/>
    <w:pPr>
      <w:ind w:left="440" w:hanging="0"/>
    </w:pPr>
    <w:rPr>
      <w:rFonts w:ascii="Calibri" w:hAnsi="Calibri" w:eastAsia="Times New Roman" w:cs="Times New Roman"/>
    </w:rPr>
  </w:style>
  <w:style w:type="paragraph" w:styleId="S21" w:customStyle="1">
    <w:name w:val="S_Заголовок 2"/>
    <w:basedOn w:val="2"/>
    <w:qFormat/>
    <w:rsid w:val="00166af6"/>
    <w:pPr>
      <w:keepNext w:val="false"/>
      <w:tabs>
        <w:tab w:val="clear" w:pos="709"/>
        <w:tab w:val="left" w:pos="1134" w:leader="none"/>
      </w:tabs>
      <w:spacing w:lineRule="auto" w:line="360" w:before="0" w:after="0"/>
      <w:ind w:firstLine="720"/>
      <w:jc w:val="both"/>
    </w:pPr>
    <w:rPr>
      <w:rFonts w:ascii="Times New Roman" w:hAnsi="Times New Roman"/>
      <w:bCs w:val="false"/>
      <w:i w:val="false"/>
      <w:iCs w:val="false"/>
      <w:sz w:val="24"/>
      <w:szCs w:val="24"/>
    </w:rPr>
  </w:style>
  <w:style w:type="paragraph" w:styleId="BodyTextIndent2">
    <w:name w:val="Body Text Indent 2"/>
    <w:basedOn w:val="Normal"/>
    <w:link w:val="23"/>
    <w:uiPriority w:val="99"/>
    <w:semiHidden/>
    <w:unhideWhenUsed/>
    <w:qFormat/>
    <w:rsid w:val="00166af6"/>
    <w:pPr>
      <w:spacing w:lineRule="auto" w:line="480" w:before="0" w:after="120"/>
      <w:ind w:left="283" w:hanging="0"/>
    </w:pPr>
    <w:rPr>
      <w:rFonts w:ascii="Calibri" w:hAnsi="Calibri" w:eastAsia="Times New Roman" w:cs="Times New Roman"/>
      <w:sz w:val="24"/>
      <w:szCs w:val="24"/>
      <w:lang w:val="en-US" w:eastAsia="en-US" w:bidi="en-US"/>
    </w:rPr>
  </w:style>
  <w:style w:type="paragraph" w:styleId="Style110" w:customStyle="1">
    <w:name w:val="Style1"/>
    <w:basedOn w:val="Normal"/>
    <w:uiPriority w:val="99"/>
    <w:qFormat/>
    <w:rsid w:val="00166af6"/>
    <w:pPr>
      <w:widowControl w:val="false"/>
      <w:spacing w:lineRule="exact" w:line="369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28" w:customStyle="1">
    <w:name w:val="Style2"/>
    <w:basedOn w:val="Normal"/>
    <w:uiPriority w:val="99"/>
    <w:qFormat/>
    <w:rsid w:val="00166af6"/>
    <w:pPr>
      <w:widowControl w:val="false"/>
      <w:spacing w:lineRule="exact" w:line="374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41" w:customStyle="1">
    <w:name w:val="Style4"/>
    <w:basedOn w:val="Normal"/>
    <w:uiPriority w:val="99"/>
    <w:qFormat/>
    <w:rsid w:val="00166af6"/>
    <w:pPr>
      <w:widowControl w:val="false"/>
      <w:spacing w:lineRule="exact" w:line="376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51" w:customStyle="1">
    <w:name w:val="Style5"/>
    <w:basedOn w:val="Normal"/>
    <w:uiPriority w:val="99"/>
    <w:qFormat/>
    <w:rsid w:val="00166af6"/>
    <w:pPr>
      <w:widowControl w:val="false"/>
      <w:spacing w:lineRule="exact" w:line="376" w:before="0" w:after="0"/>
      <w:ind w:firstLine="507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61" w:customStyle="1">
    <w:name w:val="Style6"/>
    <w:basedOn w:val="Normal"/>
    <w:uiPriority w:val="99"/>
    <w:qFormat/>
    <w:rsid w:val="00166af6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71" w:customStyle="1">
    <w:name w:val="Style7"/>
    <w:basedOn w:val="Normal"/>
    <w:uiPriority w:val="99"/>
    <w:qFormat/>
    <w:rsid w:val="00166af6"/>
    <w:pPr>
      <w:widowControl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81" w:customStyle="1">
    <w:name w:val="Style8"/>
    <w:basedOn w:val="Normal"/>
    <w:uiPriority w:val="99"/>
    <w:qFormat/>
    <w:rsid w:val="00166af6"/>
    <w:pPr>
      <w:widowControl w:val="false"/>
      <w:spacing w:lineRule="exact" w:line="564" w:before="0" w:after="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91" w:customStyle="1">
    <w:name w:val="Style9"/>
    <w:basedOn w:val="Normal"/>
    <w:uiPriority w:val="99"/>
    <w:qFormat/>
    <w:rsid w:val="00166af6"/>
    <w:pPr>
      <w:widowControl w:val="false"/>
      <w:spacing w:lineRule="exact" w:line="369" w:before="0" w:after="0"/>
    </w:pPr>
    <w:rPr>
      <w:rFonts w:ascii="Times New Roman" w:hAnsi="Times New Roman" w:eastAsia="Times New Roman" w:cs="Times New Roman"/>
      <w:sz w:val="24"/>
      <w:szCs w:val="24"/>
    </w:rPr>
  </w:style>
  <w:style w:type="paragraph" w:styleId="Style101" w:customStyle="1">
    <w:name w:val="Style10"/>
    <w:basedOn w:val="Normal"/>
    <w:uiPriority w:val="99"/>
    <w:qFormat/>
    <w:rsid w:val="00166af6"/>
    <w:pPr>
      <w:widowControl w:val="false"/>
      <w:spacing w:lineRule="exact" w:line="376" w:before="0" w:after="0"/>
      <w:ind w:firstLine="275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111" w:customStyle="1">
    <w:name w:val="Style11"/>
    <w:basedOn w:val="Normal"/>
    <w:uiPriority w:val="99"/>
    <w:qFormat/>
    <w:rsid w:val="00166af6"/>
    <w:pPr>
      <w:widowControl w:val="false"/>
      <w:spacing w:lineRule="exact" w:line="376" w:before="0" w:after="0"/>
      <w:ind w:firstLine="919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121" w:customStyle="1">
    <w:name w:val="Style12"/>
    <w:basedOn w:val="Normal"/>
    <w:uiPriority w:val="99"/>
    <w:qFormat/>
    <w:rsid w:val="00166af6"/>
    <w:pPr>
      <w:widowControl w:val="false"/>
      <w:spacing w:lineRule="exact" w:line="376" w:before="0" w:after="0"/>
      <w:ind w:firstLine="702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Style29">
    <w:name w:val="Body Text Indent"/>
    <w:basedOn w:val="Normal"/>
    <w:link w:val="af8"/>
    <w:uiPriority w:val="99"/>
    <w:semiHidden/>
    <w:unhideWhenUsed/>
    <w:rsid w:val="00166af6"/>
    <w:pPr>
      <w:spacing w:before="0" w:after="120"/>
      <w:ind w:left="283" w:hanging="0"/>
    </w:pPr>
    <w:rPr>
      <w:rFonts w:ascii="Calibri" w:hAnsi="Calibri" w:eastAsia="Times New Roman" w:cs="Times New Roman"/>
    </w:rPr>
  </w:style>
  <w:style w:type="paragraph" w:styleId="ConsPlusNormal1" w:customStyle="1">
    <w:name w:val="ConsPlusNormal"/>
    <w:link w:val="ConsPlusNormal0"/>
    <w:qFormat/>
    <w:rsid w:val="00166af6"/>
    <w:pPr>
      <w:widowControl w:val="fals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Style30" w:customStyle="1">
    <w:name w:val="Мария"/>
    <w:basedOn w:val="Normal"/>
    <w:uiPriority w:val="99"/>
    <w:qFormat/>
    <w:rsid w:val="00166af6"/>
    <w:pPr>
      <w:spacing w:lineRule="auto" w:line="240" w:before="240" w:after="120"/>
      <w:ind w:firstLine="709"/>
      <w:jc w:val="both"/>
    </w:pPr>
    <w:rPr>
      <w:rFonts w:ascii="Times New Roman" w:hAnsi="Times New Roman" w:eastAsia="Times New Roman" w:cs="Times New Roman"/>
      <w:sz w:val="26"/>
      <w:szCs w:val="26"/>
    </w:rPr>
  </w:style>
  <w:style w:type="paragraph" w:styleId="S31" w:customStyle="1">
    <w:name w:val="S_Заголовок 3"/>
    <w:basedOn w:val="3"/>
    <w:link w:val="S30"/>
    <w:qFormat/>
    <w:rsid w:val="00166af6"/>
    <w:pPr>
      <w:keepNext w:val="false"/>
      <w:tabs>
        <w:tab w:val="clear" w:pos="709"/>
        <w:tab w:val="left" w:pos="1276" w:leader="none"/>
      </w:tabs>
      <w:spacing w:lineRule="auto" w:line="360" w:before="0" w:after="0"/>
      <w:ind w:firstLine="720"/>
    </w:pPr>
    <w:rPr>
      <w:rFonts w:ascii="Times New Roman" w:hAnsi="Times New Roman"/>
      <w:b w:val="false"/>
      <w:bCs w:val="false"/>
      <w:sz w:val="24"/>
      <w:szCs w:val="24"/>
      <w:u w:val="single"/>
    </w:rPr>
  </w:style>
  <w:style w:type="paragraph" w:styleId="S41" w:customStyle="1">
    <w:name w:val="S_Заголовок 4"/>
    <w:basedOn w:val="4"/>
    <w:link w:val="S40"/>
    <w:qFormat/>
    <w:rsid w:val="00166af6"/>
    <w:pPr>
      <w:keepNext w:val="false"/>
      <w:tabs>
        <w:tab w:val="clear" w:pos="709"/>
        <w:tab w:val="left" w:pos="1418" w:leader="none"/>
      </w:tabs>
      <w:spacing w:lineRule="auto" w:line="360" w:before="0" w:after="0"/>
      <w:ind w:firstLine="709"/>
      <w:outlineLvl w:val="4"/>
    </w:pPr>
    <w:rPr>
      <w:rFonts w:ascii="Times New Roman" w:hAnsi="Times New Roman"/>
      <w:b w:val="false"/>
      <w:bCs w:val="false"/>
      <w:i/>
      <w:sz w:val="24"/>
      <w:szCs w:val="24"/>
    </w:rPr>
  </w:style>
  <w:style w:type="paragraph" w:styleId="S51" w:customStyle="1">
    <w:name w:val="S_Заголовок 5"/>
    <w:basedOn w:val="5"/>
    <w:qFormat/>
    <w:rsid w:val="00166af6"/>
    <w:pPr>
      <w:tabs>
        <w:tab w:val="clear" w:pos="709"/>
        <w:tab w:val="left" w:pos="1560" w:leader="none"/>
      </w:tabs>
      <w:spacing w:lineRule="auto" w:line="360" w:before="0" w:after="0"/>
      <w:ind w:firstLine="709"/>
    </w:pPr>
    <w:rPr>
      <w:rFonts w:ascii="Times New Roman" w:hAnsi="Times New Roman"/>
      <w:b w:val="false"/>
      <w:bCs w:val="false"/>
      <w:i w:val="false"/>
      <w:iCs w:val="false"/>
      <w:sz w:val="24"/>
      <w:szCs w:val="24"/>
    </w:rPr>
  </w:style>
  <w:style w:type="paragraph" w:styleId="TOCHeading">
    <w:name w:val="TOC Heading"/>
    <w:basedOn w:val="1"/>
    <w:next w:val="Normal"/>
    <w:uiPriority w:val="39"/>
    <w:semiHidden/>
    <w:unhideWhenUsed/>
    <w:qFormat/>
    <w:rsid w:val="001e5487"/>
    <w:pPr>
      <w:keepLines/>
      <w:spacing w:before="480" w:after="0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kern w:val="0"/>
      <w:sz w:val="28"/>
      <w:szCs w:val="28"/>
    </w:rPr>
  </w:style>
  <w:style w:type="paragraph" w:styleId="Style31" w:customStyle="1">
    <w:name w:val="Стандарт"/>
    <w:basedOn w:val="Style20"/>
    <w:qFormat/>
    <w:rsid w:val="00934f03"/>
    <w:pPr>
      <w:widowControl w:val="false"/>
      <w:suppressAutoHyphens w:val="true"/>
      <w:spacing w:lineRule="auto" w:line="264" w:before="0" w:after="0"/>
      <w:ind w:firstLine="720"/>
      <w:jc w:val="both"/>
    </w:pPr>
    <w:rPr>
      <w:rFonts w:ascii="Times New Roman" w:hAnsi="Times New Roman" w:cs="Times New Roman"/>
      <w:sz w:val="28"/>
      <w:szCs w:val="20"/>
      <w:lang w:val="ru-RU" w:eastAsia="ar-SA" w:bidi="ar-SA"/>
    </w:rPr>
  </w:style>
  <w:style w:type="paragraph" w:styleId="15" w:customStyle="1">
    <w:name w:val="Текст1"/>
    <w:basedOn w:val="Normal"/>
    <w:qFormat/>
    <w:rsid w:val="00972c0e"/>
    <w:pPr>
      <w:widowControl w:val="false"/>
      <w:suppressAutoHyphens w:val="true"/>
      <w:spacing w:lineRule="auto" w:line="240" w:before="0" w:after="0"/>
    </w:pPr>
    <w:rPr>
      <w:rFonts w:ascii="Courier New" w:hAnsi="Courier New" w:eastAsia="Lucida Sans Unicode" w:cs="Courier New"/>
      <w:kern w:val="2"/>
      <w:sz w:val="20"/>
      <w:szCs w:val="20"/>
      <w:lang w:eastAsia="hi-IN" w:bidi="hi-IN"/>
    </w:rPr>
  </w:style>
  <w:style w:type="paragraph" w:styleId="Caption">
    <w:name w:val="caption"/>
    <w:basedOn w:val="Normal"/>
    <w:next w:val="Normal"/>
    <w:link w:val="afd"/>
    <w:uiPriority w:val="35"/>
    <w:unhideWhenUsed/>
    <w:qFormat/>
    <w:rsid w:val="00972c0e"/>
    <w:pPr>
      <w:spacing w:lineRule="auto" w:line="240"/>
    </w:pPr>
    <w:rPr>
      <w:rFonts w:ascii="Calibri" w:hAnsi="Calibri" w:eastAsia="Times New Roman" w:cs="Times New Roman"/>
      <w:b/>
      <w:bCs/>
      <w:color w:val="4F81BD" w:themeColor="accent1"/>
      <w:sz w:val="18"/>
      <w:szCs w:val="18"/>
    </w:rPr>
  </w:style>
  <w:style w:type="paragraph" w:styleId="Style32" w:customStyle="1">
    <w:name w:val="Нормальный (таблица)"/>
    <w:basedOn w:val="Normal"/>
    <w:next w:val="Normal"/>
    <w:uiPriority w:val="99"/>
    <w:qFormat/>
    <w:rsid w:val="0041545a"/>
    <w:pPr>
      <w:widowControl w:val="false"/>
      <w:spacing w:lineRule="auto" w:line="240" w:before="0" w:after="0"/>
      <w:jc w:val="both"/>
    </w:pPr>
    <w:rPr>
      <w:rFonts w:ascii="Arial" w:hAnsi="Arial" w:eastAsia="Times New Roman" w:cs="Arial"/>
      <w:sz w:val="24"/>
      <w:szCs w:val="24"/>
    </w:rPr>
  </w:style>
  <w:style w:type="paragraph" w:styleId="112" w:customStyle="1">
    <w:name w:val="Табличный_боковик_11"/>
    <w:link w:val="111"/>
    <w:qFormat/>
    <w:rsid w:val="007a4eb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4"/>
      <w:lang w:val="ru-RU" w:eastAsia="ru-RU" w:bidi="ar-SA"/>
    </w:rPr>
  </w:style>
  <w:style w:type="paragraph" w:styleId="NoSpacing">
    <w:name w:val="No Spacing"/>
    <w:uiPriority w:val="1"/>
    <w:qFormat/>
    <w:rsid w:val="008a283b"/>
    <w:pPr>
      <w:widowControl/>
      <w:bidi w:val="0"/>
      <w:spacing w:lineRule="auto" w:line="240"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e">
    <w:name w:val="Table Grid"/>
    <w:basedOn w:val="a1"/>
    <w:uiPriority w:val="59"/>
    <w:rsid w:val="00166af6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14">
    <w:name w:val="Сетка таблицы14"/>
    <w:basedOn w:val="a1"/>
    <w:uiPriority w:val="39"/>
    <w:rsid w:val="00934f03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">
    <w:name w:val="Сетка таблицы16"/>
    <w:basedOn w:val="a1"/>
    <w:uiPriority w:val="39"/>
    <w:rsid w:val="007264c6"/>
    <w:pPr>
      <w:spacing w:after="0" w:line="240" w:lineRule="auto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">
    <w:name w:val="Сетка таблицы1"/>
    <w:basedOn w:val="a1"/>
    <w:rsid w:val="00693ba2"/>
    <w:pPr>
      <w:spacing w:after="0" w:line="240" w:lineRule="auto"/>
    </w:pPr>
    <w:rPr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3.xml"/><Relationship Id="rId7" Type="http://schemas.openxmlformats.org/officeDocument/2006/relationships/footer" Target="footer3.xml"/><Relationship Id="rId8" Type="http://schemas.openxmlformats.org/officeDocument/2006/relationships/header" Target="header4.xml"/><Relationship Id="rId9" Type="http://schemas.openxmlformats.org/officeDocument/2006/relationships/footer" Target="footer4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12ED7-1610-4D4A-804A-60BDD15B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981</TotalTime>
  <Application>LibreOffice/6.2.8.2$Windows_X86_64 LibreOffice_project/f82ddfca21ebc1e222a662a32b25c0c9d20169ee</Application>
  <Pages>10</Pages>
  <Words>1539</Words>
  <Characters>11974</Characters>
  <CharactersWithSpaces>13571</CharactersWithSpaces>
  <Paragraphs>131</Paragraphs>
  <Company>Geograd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2020-01-27T13:22:00Z</dcterms:created>
  <dc:creator>абрашина</dc:creator>
  <dc:description/>
  <dc:language>ru-RU</dc:language>
  <cp:lastModifiedBy>PC33</cp:lastModifiedBy>
  <cp:lastPrinted>2021-06-16T08:53:00Z</cp:lastPrinted>
  <dcterms:modified xsi:type="dcterms:W3CDTF">2024-08-05T05:51:00Z</dcterms:modified>
  <cp:revision>122</cp:revision>
  <dc:subject/>
  <dc:title>МО Новосергиевский поссовет. Генеральный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Geograd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